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تحلیل جامع معماری، بخش‌های تشکیل‌دهنده و ماتریس ارتباطی نرم‌افزار نگار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شناسایی هسته اصلی برنامه، معرفی ۱۴ سیستم عملیاتی و تبیین نحوه تبادل زنده داده‌ها بین ماژول‌ها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معرفی هسته اصلی (Core/Backbone)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نرم‌افزار جامع نگار یک سیستم یکپارچه مدیریت منابع سازمانی (ERP) مبتنی بر معماری چند لایه‌ای (Multi-Layer Architecture) است. در ارزیابی ساختار کدهای برنامه، هسته اصلی و حیاتی نرم‌افزار از دو لایه کلیدی تشکیل شده است: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۱. لایه زیرساخت و مدیریت نشست (SessionContext &amp; Security Engine): </w:t>
      </w:r>
      <w:r>
        <w:rPr>
          <w:rFonts w:ascii="B Nazanin" w:hAnsi="B Nazanin"/>
          <w:color w:val="282828"/>
          <w:sz w:val="22"/>
        </w:rPr>
        <w:t>شامل مدیریت نشست کاربر جاری، شرکت و سال مالی فعال (CompanyID &amp; SalMaly)، امنیت دیتابیس (رمزنگاری AES-256)، و کنترل دسترسی‌های تفکیکی (PermissionTreeService). کلیه فرم‌ها و خدمات برنامه بر پایه این زیرساخت هویت‌یابی و جداسازی داده‌ها عمل می‌کنند.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۲. لایه حسابداری مالی دوبل (Financial Accounting Core): </w:t>
      </w:r>
      <w:r>
        <w:rPr>
          <w:rFonts w:ascii="B Nazanin" w:hAnsi="B Nazanin"/>
          <w:color w:val="282828"/>
          <w:sz w:val="22"/>
        </w:rPr>
        <w:t>موتور دفترداری دوبل (Sanad1 &amp; Sanad2). تمامی ۱۴ ماژول عملیاتی نرم‌افزار نگار در نهایت رویدادهای مالی و عملیاتی خود را تبدیل به اسناد حسابداری دوبل استاندارد کرده و در جداول مرکزی Sanad1 و Sanad2 با شناسه غیرقابل ویرایش (AdamVirayesh = 1) ثبت می‌کنند.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📌 جمع‌بندی هسته اصلی: </w:t>
      </w:r>
      <w:r>
        <w:rPr>
          <w:rFonts w:ascii="B Nazanin" w:hAnsi="B Nazanin"/>
          <w:color w:val="282828"/>
          <w:sz w:val="22"/>
        </w:rPr>
        <w:t>نتیجه‌گیری هسته اصلی: سیستم حسابداری مالی به عنوان قلب تپنده (Backbone) نرم‌افزار نگار عمل می‌کند؛ زیرا تمام ماژول‌های دیگر، گزارشات مالی، ترازنامه، صورت سود و زیان و گردش دفاتر کل/معین خود را از این لایه مرکزی استخراج می‌نمایند.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معرفی بخش‌ها و ماژول‌های تشکیل‌دهنده پروژه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نرم‌افزار نگار در حال حاضر دارای ۱۴ بخش اصلی و سیستم عملیاتی جامع به شرح زیر می‌باشد: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۱. سیستم مدیریت سیستم و کاربران: </w:t>
      </w:r>
      <w:r>
        <w:rPr>
          <w:rFonts w:ascii="B Nazanin" w:hAnsi="B Nazanin"/>
          <w:color w:val="282828"/>
          <w:sz w:val="22"/>
        </w:rPr>
        <w:t>مدیریت کاربران، گروه‌های کاربری، تعیین سطوح دسترسی تفکیکی در درختواره، قفل برنامه و مدیریت تم‌ها.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۲. سیستم مدیریت شرکت‌ها و سال‌های مالی: </w:t>
      </w:r>
      <w:r>
        <w:rPr>
          <w:rFonts w:ascii="B Nazanin" w:hAnsi="B Nazanin"/>
          <w:color w:val="282828"/>
          <w:sz w:val="22"/>
        </w:rPr>
        <w:t>تعریف شرکت‌های متعدد، تعریف سال‌های مالی، بستن حساب‌های موقت/دائم و انتقال مانده به سال جدید.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۳. سیستم حسابداری مالی و کدینگ: </w:t>
      </w:r>
      <w:r>
        <w:rPr>
          <w:rFonts w:ascii="B Nazanin" w:hAnsi="B Nazanin"/>
          <w:color w:val="282828"/>
          <w:sz w:val="22"/>
        </w:rPr>
        <w:t>کدینگ ۴ سطحی (گروه، کل، معین، تفصیلی/شناور)، صدور اسناد حسابداری، دفاتر روزنامه، کل، معین و ترازهای آزمایشی.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۴. سیستم خرید، فروش و انبارداری: </w:t>
      </w:r>
      <w:r>
        <w:rPr>
          <w:rFonts w:ascii="B Nazanin" w:hAnsi="B Nazanin"/>
          <w:color w:val="282828"/>
          <w:sz w:val="22"/>
        </w:rPr>
        <w:t>مدیریت انبارداری در ۳ سطح (مینی، متوسط، پیشرفته)، صدور فاکتور خرید و فروش، رسید/حواله انبار و ردیابی موجودی.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۵. سیستم حقوق و دستمزد و پرسنلی: </w:t>
      </w:r>
      <w:r>
        <w:rPr>
          <w:rFonts w:ascii="B Nazanin" w:hAnsi="B Nazanin"/>
          <w:color w:val="282828"/>
          <w:sz w:val="22"/>
        </w:rPr>
        <w:t>تعریف پرونده پرسنل، احکام کارگزینی، فیش حقوقی، لیست بیمه تامین اجتماعی، مالیات بر درآمد و محاسبه حقوق ماهانه.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۶. سیستم اموال و دارایی‌های ثابت: </w:t>
      </w:r>
      <w:r>
        <w:rPr>
          <w:rFonts w:ascii="B Nazanin" w:hAnsi="B Nazanin"/>
          <w:color w:val="282828"/>
          <w:sz w:val="22"/>
        </w:rPr>
        <w:t>ثبت دارایی‌های ثابت، پلاک‌گذاری، استهلاک‌گیری اتوماتیک به روش خط مستقیم و نزولی و صدور سند استهلاک.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۷. سیستم اتوماسیون اداری و دبیرخانه: </w:t>
      </w:r>
      <w:r>
        <w:rPr>
          <w:rFonts w:ascii="B Nazanin" w:hAnsi="B Nazanin"/>
          <w:color w:val="282828"/>
          <w:sz w:val="22"/>
        </w:rPr>
        <w:t>ثبت نامه‌های صادره/وارده، شماره‌گذاری اتوماتیک، ارجاعات اداری، کارتابل پرسنل و پیوست اسناد.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۸. سیستم مدیریت ارتباط با مشتریان (CRM): </w:t>
      </w:r>
      <w:r>
        <w:rPr>
          <w:rFonts w:ascii="B Nazanin" w:hAnsi="B Nazanin"/>
          <w:color w:val="282828"/>
          <w:sz w:val="22"/>
        </w:rPr>
        <w:t>تشکیل پرونده مشتریان، سابقه خریدهای قبلی، فرصت‌های فروش، باشگاه مشتریان و ردیابی وفاداری.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۹. سیستم خزانه‌داری و مدیریت جریان نقدینگی: </w:t>
      </w:r>
      <w:r>
        <w:rPr>
          <w:rFonts w:ascii="B Nazanin" w:hAnsi="B Nazanin"/>
          <w:color w:val="282828"/>
          <w:sz w:val="22"/>
        </w:rPr>
        <w:t>مدیریت صندوق، بانک، چک‌های دریافتی/پرداختی، سررسید چک‌ها، جریان نقدینگی (Cash Flow) و عملیات وصول/واگذاری.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۱۰. سیستم بودجه و کنترل هزینه‌ها: </w:t>
      </w:r>
      <w:r>
        <w:rPr>
          <w:rFonts w:ascii="B Nazanin" w:hAnsi="B Nazanin"/>
          <w:color w:val="282828"/>
          <w:sz w:val="22"/>
        </w:rPr>
        <w:t>پیش‌بینی بودجه سالانه، تخصیص اعتبارات به مراکز هزینه، مقایسه عملکرد واقعی با بودجه و گزارشات انحراف بودجه.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۱۱. سیستم بهای تمام‌شده و برنامه‌ریزی تولید: </w:t>
      </w:r>
      <w:r>
        <w:rPr>
          <w:rFonts w:ascii="B Nazanin" w:hAnsi="B Nazanin"/>
          <w:color w:val="282828"/>
          <w:sz w:val="22"/>
        </w:rPr>
        <w:t>تعریف درخت محصول (BOM)، کسر خودکار مواد اولیه از انبار، ثبت سفارشات تولید و محاسبه بهای تمام‌شده کالای ساخته‌شده.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۱۲. سیستم مدیریت پروژه‌ها و پیمان‌ها: </w:t>
      </w:r>
      <w:r>
        <w:rPr>
          <w:rFonts w:ascii="B Nazanin" w:hAnsi="B Nazanin"/>
          <w:color w:val="282828"/>
          <w:sz w:val="22"/>
        </w:rPr>
        <w:t>مدیریت پیمانکاران، شکست کار (WBS)، صورت وضعیت‌ها، ثبت کسورات قانونی بیمه/مالیات و صدور سند حسابداری پیمان.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۱۳. سیستم ارزیابی عملکرد و پاداش (KPI): </w:t>
      </w:r>
      <w:r>
        <w:rPr>
          <w:rFonts w:ascii="B Nazanin" w:hAnsi="B Nazanin"/>
          <w:color w:val="282828"/>
          <w:sz w:val="22"/>
        </w:rPr>
        <w:t>تعریف شاخص‌های کلیدی عملکرد (KPI)، ارزیابی ۳۶۰ درجه پرسنل، محاسبه کارانه و صدور سند ذخیره پاداش عملکرد.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۱۴. سیستم بازرگانی خارجی و واردات/صادرات: </w:t>
      </w:r>
      <w:r>
        <w:rPr>
          <w:rFonts w:ascii="B Nazanin" w:hAnsi="B Nazanin"/>
          <w:color w:val="282828"/>
          <w:sz w:val="22"/>
        </w:rPr>
        <w:t>ثبت پروفرما (PI)، اعتبارات اسنادی (LC)، ترخیص گمرکی، محاسبه بهای تمام‌شده واقعی (Landed Cost) و رسید انبار خرید خارجی.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نحوه ارتباط و تبادل داده بین بخش‌های مختلف (Integration Matrix)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ارتباط بین بخش‌های مختلف نگار بر پایه ۵ مکانیزم هوشمند و زنده برقرار است: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۱. صدور خودکار اسناد حسابداری پس‌زمینه (Background Accounting Vouchers): </w:t>
      </w:r>
      <w:r>
        <w:rPr>
          <w:rFonts w:ascii="B Nazanin" w:hAnsi="B Nazanin"/>
          <w:color w:val="282828"/>
          <w:sz w:val="22"/>
        </w:rPr>
        <w:t>هر رویداد عملیاتی در انبار، خزانه‌داری، حقوق، تولید، پروژه‌ها، اموال، بازرگانی خارجی یا KPI، بلافاصله سند حسابداری دوبل متناظر خود را در جداول Sanad1 و Sanad2 با شناسه ثبت اتوماتیک (AdamVirayesh = 1) ایجاد می‌کند.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۲. تسهیم داده بر اساس شرکت و سال مالی (Session Integration): </w:t>
      </w:r>
      <w:r>
        <w:rPr>
          <w:rFonts w:ascii="B Nazanin" w:hAnsi="B Nazanin"/>
          <w:color w:val="282828"/>
          <w:sz w:val="22"/>
        </w:rPr>
        <w:t>تمامی ماژول‌ها شناسه شرکت (CompanyID) و سال مالی (SalMaly) را از SessionContext دریافت می‌کنند تا جداسازی کامل اطلاعات رعایت شود.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۳. بروزرسانی اتوماتیک موجودی انبار (Real-Time Inventory Integration): </w:t>
      </w:r>
      <w:r>
        <w:rPr>
          <w:rFonts w:ascii="B Nazanin" w:hAnsi="B Nazanin"/>
          <w:color w:val="282828"/>
          <w:sz w:val="22"/>
        </w:rPr>
        <w:t>ماژول‌های فروش، تولید و بازرگانی خارجی مستقیماً با انبارداری در ارتباط بوده و موجودی کالاها را به صورت زنده بروزرسانی می‌کنند.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۴. تسویه‌حساب خزانه‌داری و چک (Treasury &amp; Cash Integration): </w:t>
      </w:r>
      <w:r>
        <w:rPr>
          <w:rFonts w:ascii="B Nazanin" w:hAnsi="B Nazanin"/>
          <w:color w:val="282828"/>
          <w:sz w:val="22"/>
        </w:rPr>
        <w:t>فاکتورهای خرید/فروش، صورت وضعیت پیمانکاران، خرید‌های خارجی و حقوق پرسنل از طریق خزانه‌داری تسویه‌حساب نقد یا چرخه‌ای می‌شوند.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۵. یکپارچگی با سامانه مؤدیان و مالیات (Tax Integration): </w:t>
      </w:r>
      <w:r>
        <w:rPr>
          <w:rFonts w:ascii="B Nazanin" w:hAnsi="B Nazanin"/>
          <w:color w:val="282828"/>
          <w:sz w:val="22"/>
        </w:rPr>
        <w:t>ارسال اطلاعات فاکتورهای فروش به سامانه مؤدیان و مالیات کشور جهت تکالیف قانونی.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جدول تفکیکی نحوه ارتباط ماژول‌ها با یکدیگر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نام ماژول مبدا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ماژول‌های در ارتباط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شرح نحوه ارتباط و تبادل داده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خرید، فروش و انبارداری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خزانه‌داری، مؤدیان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سند حسابداری خرید/فروش، تسویه در خزانه‌داری و ارسال فاکتور الکترونیکی به سامانه مؤدیان.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خزانه‌داری و نقدینگی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خرید/فروش، حقوق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دریافت/پرداخت نقد و چک، وصول چک و صدور سند اتوماتیک بدهکار/بستانکار بانک و صندوق.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حقوق و دستمزد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خزانه‌داری، KPI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حقوق بر اساس کارکرد و پاداش KPI، صدور سند هزینه حقوق و بیمه، و پرداخت از طریق خزانه‌داری.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تولید و بهای تمام‌شده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انبارداری، حسابداری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کسر مواد اولیه از انبار طبق BOM، اضافه کردن کالای ساخته شده به انبار و صدور سند بهای تمام‌شده.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پروژه‌ها و پیمان‌ها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خزانه‌داری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صورت وضعیت، کسر کسورات قانونی (بیمه/مالیات)، صدور سند حسابداری پیمانکار و تسویه خزانه‌داری.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ارزیابی عملکرد (KPI)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حقوق و دستمزد، حسابداری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ارزیابی شاخص‌ها، محاسبه پاداش عملکرد، انتقال به لیست حقوق و صدور سند ذخیره پاداش کارانه.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بازرگانی خارجی (واردات)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انبارداری، خزانه‌داری، حسابداری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پروفرما و LC، ترخیص گمرکی، محاسبه بهای تمام‌شده واقعی (Landed Cost) و رسید انبار خرید خارجی.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اموال و دارایی‌های ثابت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استهلاک‌گیری دوره‌ای دارایی‌ها و صدور اتوماتیک سند هزینه استهلاک و استهلاک انباشته.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اتوماسیون اداری و CRM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پرسنلی، انبار، خزانه‌داری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ارجاع نامه‌ها به پرسنل، ردیابی خریدهای مشتریان در CRM و اتصال سابقه فاکتورها به پرونده مشتری.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