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Yekan" w:hAnsi="B Yekan"/>
          <w:b/>
          <w:color w:val="2E7D32"/>
          <w:sz w:val="40"/>
        </w:rPr>
        <w:t>معماری و سناریوی جامع یک سیستم حقوق و دستمزد کارآمد و استاندراد</w:t>
      </w:r>
    </w:p>
    <w:p>
      <w:pPr>
        <w:bidi/>
        <w:spacing w:before="0" w:after="360"/>
        <w:jc w:val="center"/>
      </w:pPr>
      <w:r>
        <w:rPr>
          <w:rFonts w:ascii="B Nazanin" w:hAnsi="B Nazanin"/>
          <w:b/>
          <w:color w:val="5A646E"/>
          <w:sz w:val="24"/>
        </w:rPr>
        <w:t>مستند راهنمای عملیاتی محاسبات حقوق، کسورات قانونی، دیسکت‌های بیمه و مالیات و صدور سند خودکار حسابداری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36"/>
      </w:tblGrid>
      <w:tr>
        <w:tc>
          <w:tcPr>
            <w:tcW w:type="dxa" w:w="9936"/>
            <w:shd w:fill="F1F8E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B Yekan" w:hAnsi="B Yekan"/>
                <w:b/>
                <w:color w:val="2E7D32"/>
                <w:sz w:val="23"/>
              </w:rPr>
              <w:t>💡 ویژگی‌های کلیدی یک سیستم حقوق و دستمزد مدرن</w:t>
              <w:br/>
            </w:r>
            <w:r>
              <w:rPr>
                <w:rFonts w:ascii="B Nazanin" w:hAnsi="B Nazanin"/>
                <w:color w:val="28323C"/>
                <w:sz w:val="23"/>
              </w:rPr>
              <w:t>یک سیستم حقوق و دستمزد (Payroll &amp; HR System) کارآمد باید علاوه بر سرعت و دقت در محاسبات، قابلیت انطباق کامل با قوانین کار و تامین اجتماعی ایران، قوانین مالیات بر درآمد حقوق، تولید دیسکت‌های قانونی (بیمه و مالیات)، خروجی پرداخت بانک و صدور خودکار سند حسابداری دوبل را داشته باشد.</w:t>
            </w:r>
          </w:p>
        </w:tc>
      </w:tr>
    </w:tbl>
    <w:p>
      <w:pPr>
        <w:spacing w:before="0" w:after="80"/>
      </w:pP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2E7D32"/>
          <w:sz w:val="30"/>
        </w:rPr>
        <w:t>۱. پرونده الکترونیک پرسنل و اطلاعات پایه (Employee Master Data)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مشخصات فردی و بانکی: </w:t>
      </w:r>
      <w:r>
        <w:rPr>
          <w:rFonts w:ascii="B Nazanin" w:hAnsi="B Nazanin"/>
          <w:color w:val="323C46"/>
          <w:sz w:val="24"/>
        </w:rPr>
        <w:t>ثبت کد پرسنلی، نام و نام خانوادگی، شماره ملی، شماره شناسنامه، تاریخ تولد، شماره حساب و شماره شبا ۲۴ رقمی جهت پرداخت بانکی.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اطلاعات بیمه و مالیاتی: </w:t>
      </w:r>
      <w:r>
        <w:rPr>
          <w:rFonts w:ascii="B Nazanin" w:hAnsi="B Nazanin"/>
          <w:color w:val="323C46"/>
          <w:sz w:val="24"/>
        </w:rPr>
        <w:t>ثبت شماره بیمه ۷ یا ۱۰ رقمی تامین اجتماعی، نوع شغل در لیست بیمه، وضعیت معافیت مالیاتی (مناطق آزاد، ایثارگری و...).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وضعیت استخدامی و عائله‌مندی: </w:t>
      </w:r>
      <w:r>
        <w:rPr>
          <w:rFonts w:ascii="B Nazanin" w:hAnsi="B Nazanin"/>
          <w:color w:val="323C46"/>
          <w:sz w:val="24"/>
        </w:rPr>
        <w:t>تعیین نوع قرارداد (رسمی، قراردادی، ساعتی، پاره‌پاره)، وضعیت تأهل و تعداد فرزندان تحت تکفل (جهت محاسبه حق اولاد طبق قانون کار).</w:t>
      </w: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2E7D32"/>
          <w:sz w:val="30"/>
        </w:rPr>
        <w:t>۲. تعریف احکام حقوقی و آیتم‌های مزایا (Salary Components)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۱. حقوق پایه (Base Salary): </w:t>
      </w:r>
      <w:r>
        <w:rPr>
          <w:rFonts w:ascii="B Nazanin" w:hAnsi="B Nazanin"/>
          <w:color w:val="323C46"/>
          <w:sz w:val="24"/>
        </w:rPr>
        <w:t>پایه حقوق ماهانه / مزد روزانه طبق مصوبات سالانه شورای عالی کار.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۲. حق مسکن و بن کارگری (Housing &amp; Food Allowance): </w:t>
      </w:r>
      <w:r>
        <w:rPr>
          <w:rFonts w:ascii="B Nazanin" w:hAnsi="B Nazanin"/>
          <w:color w:val="323C46"/>
          <w:sz w:val="24"/>
        </w:rPr>
        <w:t>مبلغ ثابت قانونی مصوب سالانه برای تمامی مشمولین قانون کار.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۳. حق اولاد و عائله‌مندی (Child Allowance): </w:t>
      </w:r>
      <w:r>
        <w:rPr>
          <w:rFonts w:ascii="B Nazanin" w:hAnsi="B Nazanin"/>
          <w:color w:val="323C46"/>
          <w:sz w:val="24"/>
        </w:rPr>
        <w:t>به ازای هر فرزند تحت تکفل تا سقف قانونی (معادل ۳ برابر حداقل مزد روزانه ضرب در تعداد فرزند).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۴. پایه سنوات (Seniority Allowance): </w:t>
      </w:r>
      <w:r>
        <w:rPr>
          <w:rFonts w:ascii="B Nazanin" w:hAnsi="B Nazanin"/>
          <w:color w:val="323C46"/>
          <w:sz w:val="24"/>
        </w:rPr>
        <w:t>پایه سنوات به پرسنلی که بیش از یک سال سابقه کار در کارگاه دارند تعلق می‌گیرد.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۵. مزایای بهرمندی و فوق‌العاده‌ها: </w:t>
      </w:r>
      <w:r>
        <w:rPr>
          <w:rFonts w:ascii="B Nazanin" w:hAnsi="B Nazanin"/>
          <w:color w:val="323C46"/>
          <w:sz w:val="24"/>
        </w:rPr>
        <w:t>شامل فوق‌العاده مدیریت، حق سرپرستی، حق جذب، فوق‌العاده نوبت‌کاری (۱۰٪ شیفت روز-عصر، ۱۵٪ روز-شب-عصر، ۲۲.۵٪ شب‌کاری)، حق ایاب‌وذهاب و ناهاری.</w:t>
      </w: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2E7D32"/>
          <w:sz w:val="30"/>
        </w:rPr>
        <w:t>۳. ثبت کارکرد ماهانه و دستگاه حضور و غیاب (Time &amp; Attendance)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اتصال به دستگاه کارت‌زن: </w:t>
      </w:r>
      <w:r>
        <w:rPr>
          <w:rFonts w:ascii="B Nazanin" w:hAnsi="B Nazanin"/>
          <w:color w:val="323C46"/>
          <w:sz w:val="24"/>
        </w:rPr>
        <w:t>فراخوانی اتوماتیک فایل‌های خروجی انواع دستگاه‌های حضور و غیاب (کارت‌خوان، اثر انگشت، تشخیص چهره) یا ثبت دستی کارکرد.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ساعات کارکرد عادی: </w:t>
      </w:r>
      <w:r>
        <w:rPr>
          <w:rFonts w:ascii="B Nazanin" w:hAnsi="B Nazanin"/>
          <w:color w:val="323C46"/>
          <w:sz w:val="24"/>
        </w:rPr>
        <w:t>ثبت دقیق روزهای کارکرد (۳۰ یا ۳۱ روز در نیمه اول/دوم سال)، ساعات حضور عادی (۴۴ ساعت در هفته طبق قانون کار).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اضافه کاری (Overtime): </w:t>
      </w:r>
      <w:r>
        <w:rPr>
          <w:rFonts w:ascii="B Nazanin" w:hAnsi="B Nazanin"/>
          <w:color w:val="323C46"/>
          <w:sz w:val="24"/>
        </w:rPr>
        <w:t>محاسبه ساعات اضافه کاری با ضریب قانونی ۱۴۰٪ (ساعت اضافه کار = ساعت عادی * ۱.۴).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شب‌کاری (Night Shift): </w:t>
      </w:r>
      <w:r>
        <w:rPr>
          <w:rFonts w:ascii="B Nazanin" w:hAnsi="B Nazanin"/>
          <w:color w:val="323C46"/>
          <w:sz w:val="24"/>
        </w:rPr>
        <w:t>محاسبه ساعات شب‌کاری (از ساعت ۲۲ تا ۶ صبح) با فوق‌العاده ۳۵٪ طبق ماده ۵۸ قانون کار.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مدیریت مرخصی‌ها: </w:t>
      </w:r>
      <w:r>
        <w:rPr>
          <w:rFonts w:ascii="B Nazanin" w:hAnsi="B Nazanin"/>
          <w:color w:val="323C46"/>
          <w:sz w:val="24"/>
        </w:rPr>
        <w:t>ثبت انواع مرخصی‌ها (استحقاقی با استفاده از ذخیره ۲.۵ روز در ماه، استعلاجی با تایید پزشکی، مرخصی بدون حقوق).</w:t>
      </w: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2E7D32"/>
          <w:sz w:val="30"/>
        </w:rPr>
        <w:t>۴. محاسبه کسورات قانونی و اختیاری (Deductions)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حق بیمه تامین اجتماعی (Social Security): </w:t>
      </w:r>
      <w:r>
        <w:rPr>
          <w:rFonts w:ascii="B Nazanin" w:hAnsi="B Nazanin"/>
          <w:color w:val="323C46"/>
          <w:sz w:val="24"/>
        </w:rPr>
        <w:t>محاسبهحق بیمه تأمین اجتماعی بر اساس مجموع ناخالص حقوق و مزایای مشمول بیمه:</w:t>
        <w:br/>
        <w:t>▪ سهم بیمه‌شده (کارمند): ۷٪ از ناخالص حقوق مشمول بیمه</w:t>
        <w:br/>
        <w:t>▪ سهم کارفرما: ۲۰٪ از ناخالص حقوق مشمول بیمه</w:t>
        <w:br/>
        <w:t>▪ بیمه بیکاری: ۳٪ سهم کارفرما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مالیات بر درآمد حقوق (Income Tax): </w:t>
      </w:r>
      <w:r>
        <w:rPr>
          <w:rFonts w:ascii="B Nazanin" w:hAnsi="B Nazanin"/>
          <w:color w:val="323C46"/>
          <w:sz w:val="24"/>
        </w:rPr>
        <w:t>محاسبه اتوماتیک مالیات بر درآمد حقوق طبق آخرین جدول پله‌های مالیاتی سالانه سازمان امور مالیاتی کشور با کسر سقف معافیت ماهانه حقوق.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کسورات اختیاری و اقساط: </w:t>
      </w:r>
      <w:r>
        <w:rPr>
          <w:rFonts w:ascii="B Nazanin" w:hAnsi="B Nazanin"/>
          <w:color w:val="323C46"/>
          <w:sz w:val="24"/>
        </w:rPr>
        <w:t>کسر اقساط وام‌های پرسنلی، مساعده دریافتی بین ماه، جریمه کسر کار/تاخیر ورود، و حق بیمه تکمیلی.</w:t>
      </w: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2E7D32"/>
          <w:sz w:val="30"/>
        </w:rPr>
        <w:t>۵. تولید فایل‌ها و دیسکت‌های قانونی و بانکی (Legal Exports)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۱. دیسکت بیمه تامین اجتماعی: </w:t>
      </w:r>
      <w:r>
        <w:rPr>
          <w:rFonts w:ascii="B Nazanin" w:hAnsi="B Nazanin"/>
          <w:color w:val="323C46"/>
          <w:sz w:val="24"/>
        </w:rPr>
        <w:t>تولید اتوماتیک فایل‌های استاندارد DSKKAR.DBF (اطلاعات کارگاه) و DSKWOR.DBF (اطلاعات کارکرد پرسنل) جهت بارگذاری مستقیم در سامانه eservices.tamin.ir.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۲. دیسکت مالیات حقوق سازمان مالیاتی: </w:t>
      </w:r>
      <w:r>
        <w:rPr>
          <w:rFonts w:ascii="B Nazanin" w:hAnsi="B Nazanin"/>
          <w:color w:val="323C46"/>
          <w:sz w:val="24"/>
        </w:rPr>
        <w:t>تولید فایل متنی و متادیتا استاندارد ماده ۸۵ قانون مالیات‌های مستقیم جهت بارگذاری در سامانه salary.tax.gov.ir.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۳. فایل پرداخت دسته‌جمعی بانک: </w:t>
      </w:r>
      <w:r>
        <w:rPr>
          <w:rFonts w:ascii="B Nazanin" w:hAnsi="B Nazanin"/>
          <w:color w:val="323C46"/>
          <w:sz w:val="24"/>
        </w:rPr>
        <w:t>تولید فایل پرداخت گروهی شبا پایا/ساتنا سازگار با کلیه بانک‌های کشور جهت واریز ۱ کلیکی حقوق پرسنل.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2E7D32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۴. فیش حقوقی پرسنلی (Payslip): </w:t>
      </w:r>
      <w:r>
        <w:rPr>
          <w:rFonts w:ascii="B Nazanin" w:hAnsi="B Nazanin"/>
          <w:color w:val="323C46"/>
          <w:sz w:val="24"/>
        </w:rPr>
        <w:t>صدور فیش حقوقی چاپی با جزئیات کامل درآمدها، کسورات، کارکرد و مانده مرخصی با قابلیت ارسال واتساپ/پیامک یا خروجی PDF.</w:t>
      </w: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2E7D32"/>
          <w:sz w:val="30"/>
        </w:rPr>
        <w:t>۶. صدور خودکار سند حسابداری حقوق و دستمزد (Payroll Accounting Voucher)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323C46"/>
          <w:sz w:val="24"/>
        </w:rPr>
        <w:t>به محض تایید محاسبات حقوق ماهانه، سیستم سند حسابداری دوبل تراز زیر را صادر می‌کند: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E7D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Yekan" w:hAnsi="B Yekan"/>
                <w:b/>
                <w:color w:val="FFFFFF"/>
              </w:rPr>
              <w:t>کد حساب</w:t>
            </w:r>
          </w:p>
        </w:tc>
        <w:tc>
          <w:tcPr>
            <w:tcW w:type="dxa" w:w="2484"/>
            <w:shd w:fill="2E7D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Yekan" w:hAnsi="B Yekan"/>
                <w:b/>
                <w:color w:val="FFFFFF"/>
              </w:rPr>
              <w:t>شرح حساب (سرفصل)</w:t>
            </w:r>
          </w:p>
        </w:tc>
        <w:tc>
          <w:tcPr>
            <w:tcW w:type="dxa" w:w="2484"/>
            <w:shd w:fill="2E7D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Yekan" w:hAnsi="B Yekan"/>
                <w:b/>
                <w:color w:val="FFFFFF"/>
              </w:rPr>
              <w:t>بدهکار (ریال)</w:t>
            </w:r>
          </w:p>
        </w:tc>
        <w:tc>
          <w:tcPr>
            <w:tcW w:type="dxa" w:w="2484"/>
            <w:shd w:fill="2E7D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Yekan" w:hAnsi="B Yekan"/>
                <w:b/>
                <w:color w:val="FFFFFF"/>
              </w:rPr>
              <w:t>بستانکار (ریال)</w:t>
            </w:r>
          </w:p>
        </w:tc>
      </w:tr>
      <w:tr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sz w:val="22"/>
              </w:rPr>
              <w:t>501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sz w:val="22"/>
              </w:rPr>
              <w:t>هزینه حقوق و مزایای پرسنل (ناخالص)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۱۵۰,۰۰۰,۰۰۰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۰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sz w:val="22"/>
              </w:rPr>
              <w:t>502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sz w:val="22"/>
              </w:rPr>
              <w:t>هزینه بیمه سهم کارفرما و بیکاری (۲۳٪)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۳۴,۵۰۰,۰۰۰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۰</w:t>
            </w:r>
          </w:p>
        </w:tc>
      </w:tr>
      <w:tr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sz w:val="22"/>
              </w:rPr>
              <w:t>201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sz w:val="22"/>
              </w:rPr>
              <w:t>بستانکاران / پرسنل (خالص قابل پرداخت)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۰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۱۳۰,۵۰۰,۰۰۰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sz w:val="22"/>
              </w:rPr>
              <w:t>202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sz w:val="22"/>
              </w:rPr>
              <w:t>سازمان تامین اجتماعی (کل حق بیمه ۳۰٪)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۰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۴۵,۰۰۰,۰۰۰</w:t>
            </w:r>
          </w:p>
        </w:tc>
      </w:tr>
      <w:tr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sz w:val="22"/>
              </w:rPr>
              <w:t>203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sz w:val="22"/>
              </w:rPr>
              <w:t>سازمان امور مالیاتی (مالیات تکلیفی حقوق)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۰</w:t>
            </w:r>
          </w:p>
        </w:tc>
        <w:tc>
          <w:tcPr>
            <w:tcW w:type="dxa" w:w="24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left"/>
            </w:pPr>
            <w:r>
              <w:rPr>
                <w:rFonts w:ascii="B Nazanin" w:hAnsi="B Nazanin"/>
                <w:sz w:val="22"/>
              </w:rPr>
              <w:t>۹,۰۰۰,۰۰۰</w:t>
            </w:r>
          </w:p>
        </w:tc>
      </w:tr>
    </w:tbl>
    <w:p>
      <w:pPr>
        <w:spacing w:before="12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36"/>
      </w:tblGrid>
      <w:tr>
        <w:tc>
          <w:tcPr>
            <w:tcW w:type="dxa" w:w="9936"/>
            <w:shd w:fill="F1F8E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B Yekan" w:hAnsi="B Yekan"/>
                <w:b/>
                <w:color w:val="2E7D32"/>
                <w:sz w:val="23"/>
              </w:rPr>
              <w:t>✨ جمع‌بندی سیستم حقوق و دستمزد نگار</w:t>
              <w:br/>
            </w:r>
            <w:r>
              <w:rPr>
                <w:rFonts w:ascii="B Nazanin" w:hAnsi="B Nazanin"/>
                <w:color w:val="28323C"/>
                <w:sz w:val="23"/>
              </w:rPr>
              <w:t>خلاصه سناریوی اجرا در نرم‌افزار نگار:</w:t>
              <w:br/>
              <w:t>۱. ورود اطلاعات کارکرد ماهانه پرسنل در لیست حقوق.</w:t>
              <w:br/>
              <w:t>۲. محاسبه ۱ کلیکی ناخالص حقوق، بیمه سهم کارمند و کارفرما، و مالیات معافیت‌دار.</w:t>
              <w:br/>
              <w:t>۳. صدور دیسکت‌های بیمه تامین اجتماعی و دیسکت مالیات و فایل پرداخت بانکی پایا.</w:t>
              <w:br/>
              <w:t>۴. صدور خودکار سند حسابداری حقوق ماهانه با قفل عدم ویرایش از حسابداری جهت حفظ تطبیق مالی.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