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60"/>
        <w:jc w:val="center"/>
      </w:pPr>
      <w:r>
        <w:rPr>
          <w:rFonts w:ascii="B Nazanin" w:hAnsi="B Nazanin"/>
          <w:b/>
          <w:color w:val="0A326E"/>
          <w:sz w:val="44"/>
        </w:rPr>
        <w:t>شناسنامه جامع و راهنمای کاربردی نرم‌افزار یکپارچه مدیریت سازمانی نگار</w:t>
      </w:r>
    </w:p>
    <w:p>
      <w:pPr>
        <w:bidi/>
        <w:spacing w:after="400"/>
        <w:jc w:val="center"/>
      </w:pPr>
      <w:r>
        <w:rPr>
          <w:rFonts w:ascii="B Nazanin" w:hAnsi="B Nazanin"/>
          <w:i/>
          <w:color w:val="465569"/>
          <w:sz w:val="26"/>
        </w:rPr>
        <w:t>معرفی معماری سیستم، هسته مرکزی، ماتریس ارتباطات میان ماژولی و آموزش گام‌به‌گام به زبان ساده</w:t>
      </w:r>
    </w:p>
    <w:p>
      <w:pPr>
        <w:bidi/>
        <w:spacing w:before="320" w:after="160"/>
        <w:jc w:val="right"/>
      </w:pPr>
      <w:r>
        <w:rPr>
          <w:rFonts w:ascii="B Nazanin" w:hAnsi="B Nazanin"/>
          <w:b/>
          <w:color w:val="0F3C7D"/>
          <w:sz w:val="32"/>
        </w:rPr>
        <w:t>۱. معرفی کلی نرم‌افزار جامع نگار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نرم‌افزار نگار (Negar Enterprise Resource Planning - ERP) یک سامانه یکپارچه و هوشمند برنامه‌ریزی و مدیریت منابع سازمانی است که برای شرکت‌های تولیدی، بازرگانی، خدماتی و هلدینگ‌های چندمجموعه‌ای طراحی شده است.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هدف اصلی نگار، حذف جزیره‌ای بودن نرم‌افزارها، یکپارچه‌سازی فرآیندهای مالی، بازرگانی، تولیدی، اداری و استراتژیک و ارائه گزارشات لحظه‌ای (Real-Time) به مدیران ارشد است.</w:t>
      </w:r>
    </w:p>
    <w:p>
      <w:pPr>
        <w:bidi/>
        <w:spacing w:before="320" w:after="160"/>
        <w:jc w:val="right"/>
      </w:pPr>
      <w:r>
        <w:rPr>
          <w:rFonts w:ascii="B Nazanin" w:hAnsi="B Nazanin"/>
          <w:b/>
          <w:color w:val="0F3C7D"/>
          <w:sz w:val="32"/>
        </w:rPr>
        <w:t>۲. هسته اصلی و مرکزی نرم‌افزار نگار (Core Architecture)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قلب تپنده و ستون فقرات سیستم نگار از سه زیرسیستم اصلی تشکیل شده است که تمامی ۲۸ ماژول دیگر بر روی آن‌ها استوار هستند: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الف) مدیریت شرکت‌ها، سال‌های مالی و دسترسی‌ها (System &amp; Security Management)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b/>
          <w:color w:val="141414"/>
          <w:sz w:val="22"/>
        </w:rPr>
        <w:t xml:space="preserve">• نقش عملیاتی: </w:t>
      </w:r>
      <w:r>
        <w:rPr>
          <w:rFonts w:ascii="B Nazanin" w:hAnsi="B Nazanin"/>
          <w:color w:val="232323"/>
          <w:sz w:val="22"/>
        </w:rPr>
        <w:t>این بخش وظیفه احراز هویت، مدیریت کاربران، گروه‌های کاری و ساختار درختی دسترسی‌ها (Permission Tree) را بر عهده دارد. تمامی عملیات کاربران بر اساس ماتریس دسترسی امنیتی کنترل می‌شود.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ب) کدینگ حسابداری و پایه (General Ledger &amp; Chart of Accounts)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b/>
          <w:color w:val="141414"/>
          <w:sz w:val="22"/>
        </w:rPr>
        <w:t xml:space="preserve">• نقش عملیاتی: </w:t>
      </w:r>
      <w:r>
        <w:rPr>
          <w:rFonts w:ascii="B Nazanin" w:hAnsi="B Nazanin"/>
          <w:color w:val="232323"/>
          <w:sz w:val="22"/>
        </w:rPr>
        <w:t>کدینگ ۴ سطحی (گروه، کل، معین، تفصیلی) همراه با تفصیلی شناور در این بخش تعریف می‌شود. تمام رویدادهای مالی و غیرمالی ماژول‌های دیگر در نهایت به اسناد حسابداری استاندارد صادر شده به این بخش ختم می‌شوند.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ج) اطلاعات پایه و شناسنامه کالا و اشخاص (Master Data Management - MDM)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b/>
          <w:color w:val="141414"/>
          <w:sz w:val="22"/>
        </w:rPr>
        <w:t xml:space="preserve">• نقش عملیاتی: </w:t>
      </w:r>
      <w:r>
        <w:rPr>
          <w:rFonts w:ascii="B Nazanin" w:hAnsi="B Nazanin"/>
          <w:color w:val="232323"/>
          <w:sz w:val="22"/>
        </w:rPr>
        <w:t>ثبت یکبار برای همیشه اشخاص (مشتریان، تأمین‌کنندگان، پرسنل)، کالاها، خدمات، انبارها و مراکز هزینه در این بخش انجام می‌شود تا تمام ماژول‌ها از یک داده واحد و معتبر استفاده کنند.</w:t>
      </w:r>
    </w:p>
    <w:p>
      <w:pPr>
        <w:bidi/>
        <w:spacing w:before="320" w:after="160"/>
        <w:jc w:val="right"/>
      </w:pPr>
      <w:r>
        <w:rPr>
          <w:rFonts w:ascii="B Nazanin" w:hAnsi="B Nazanin"/>
          <w:b/>
          <w:color w:val="0F3C7D"/>
          <w:sz w:val="32"/>
        </w:rPr>
        <w:t>۳. ماتریس یکپارچگی و ارتباط میان ماژول‌های نگار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در نگار هیچ ماژولی ایزوله نیست. جدول زیر نشان می‌دهد هر بخش به چه بخش‌های دیگری متصل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نام ماژول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بخش‌های مرتبط مستقیم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تبادل اطلاعات و جریان داده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خرید و فروش و انبار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خزانه‌داری، QC، CRM، سامانه مودیان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سند حسابداری فاکتور، کسر/افزایش موجودی انبار، ثبت بدهکاری/بستانکاری، ارسال به سامانه مودیان.</w:t>
            </w:r>
          </w:p>
        </w:tc>
      </w:tr>
      <w:tr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خزانه‌داری و چک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فروش، تامین‌کنندگان، امور حقوقی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تسویه فاکتورها، صدور اسناد دریافت/پرداخت، انتقال چک‌های برگشتی به امور حقوقی جهت پیگیری قضایی.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تولید و عملیات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انبار، R&amp;D، QC، نت (PM)، حسابداری صنعتی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BOM از R&amp;D، درخواست مواد از انبار، ارسال نمونه به QC، محاسبه بهای تمام‌شده صنعتی در حسابداری.</w:t>
            </w:r>
          </w:p>
        </w:tc>
      </w:tr>
      <w:tr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تحقیق و توسعه (R&amp;D)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تولید، QC، انبار، بودجه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طراحی فرمول محصول (BOM پژوهشی)، تعریف مشخصات هدف (Specs) برای QC، درخواست مواد آزمایشگاهی از انبار.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کیفیت (QC)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خرید، تولید، R&amp;D، انبار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بازرسی کالای ورودی از خرید، بازرسی حین تولید، تأیید/رد نمونه‌های R&amp;D و صدور مجوز ورود به انبار.</w:t>
            </w:r>
          </w:p>
        </w:tc>
      </w:tr>
      <w:tr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حقوق و دستمزد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حسابداری، اتوماسیون اداری، خزانه‌داری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کارکرد از اتوماسیون، صدور سند اسکلت حقوق در حسابداری، پرداخت نهایی از طریق خزانه‌داری.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امور حقوقی و دعاوی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خزانه‌داری، CRM، DMS، مدیریت ارشد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پرونده‌های چک برگشتی از خزانه‌داری، ارزیابی ریسک مالی پرونده‌ها و ذخیره اسناد دادگاه در DMS.</w:t>
            </w:r>
          </w:p>
        </w:tc>
      </w:tr>
      <w:tr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مرکز تلفن صوتی (VoIP)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CRM، بایگانی اسناد (DMS)، خزانه‌داری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نمایش Screen Pop-Up مشتری با مانده بدهی هنگام زنگ خوردن تلفن، پیوست فایل صوتی مکالمه به DMS.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وب‌سرویس و API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انبار، فروش، خزانه‌داری، مشتریان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همگام‌سازی زنده موجودی انبار با فروشگاه اینترنتی و پوز همراه، صدور فاکتور خودکار و تسویه آنلاین.</w:t>
            </w:r>
          </w:p>
        </w:tc>
      </w:tr>
      <w:tr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بایگانی (DMS)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تمام ماژول‌های نگار</w:t>
            </w:r>
          </w:p>
        </w:tc>
        <w:tc>
          <w:tcPr>
            <w:tcW w:type="dxa" w:w="3312"/>
            <w:shd w:fill="F2F5F9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آرشیو دیجیتال تمامی فاکتورها، قراردادها، اسناد حقوقی، تصاویر آزمایشگاه و فایل‌های صوتی VoIP.</w:t>
            </w:r>
          </w:p>
        </w:tc>
      </w:tr>
    </w:tbl>
    <w:p/>
    <w:p>
      <w:pPr>
        <w:bidi/>
        <w:spacing w:before="320" w:after="160"/>
        <w:jc w:val="right"/>
      </w:pPr>
      <w:r>
        <w:rPr>
          <w:rFonts w:ascii="B Nazanin" w:hAnsi="B Nazanin"/>
          <w:b/>
          <w:color w:val="0F3C7D"/>
          <w:sz w:val="32"/>
        </w:rPr>
        <w:t>۴. راهنمای کاربردی و گام‌به‌گام کار با ماژول‌های نگار (به زبان ساده)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۱) ماژول خرید، فروش و انبارداری (Trade &amp; Warehouse)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وارد منوی «بازرگانی و انبار» شوید.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برای ثبت پیش‌فاکتور یا فاکتور، دکمه «➕ فاکتور جدید» را بزنید.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مشتری را انتخاب کرده و کالاهای درخواستی را همراه با تعداد و قیمت اضافه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۴. با زدن دکمه «ثبت و تایید»، سیستم به طور خودکار رسید/حواله انبار را صادر کرده و سند حسابداری مربوطه را ثبت می‌کند.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۲) ماژول خزانه‌داری و مدیریت چک (Treasury)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از منوی «خزانه‌داری»، بخش «دریافت/پرداخت نقد و چک» را انتخاب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برای دریافت چک از مشتری، مشخصات چک (شماره، بانک، سررسید، مبلغ) را وارد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سیستم تاریخ سررسید را در تقویم مالی ثبت کرده و هنگام رسیدن موعد، هشدار می‌دهد.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۴. در صورت واخواست چک، می‌توانید با یک کلیک پرونده را به «امور حقوقی» منتقل کنید.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۳) ماژول تولید و برنامه‌ریزی (Production)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وارد منوی «مدیریت تولید» شوید و دکمه «دستور تولید جدید» را کلیک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محصول نهایی و تیراژ تولید را مشخص کنید؛ سیستم طبق فرمول استاندارد (BOM)، میزان مواد اولیه مورد نیاز را محاسبه می‌کند.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درخواست مواد به انبار ارسال شده و پس از تولید، ایستگاه کنترل کیفیت (QC) محصول را ارزیابی می‌کند.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۴) ماژول تحقیق، توسعه و فرمولاسیون (R&amp;D)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به منوی «تحقیق و توسعه» بروید و در تب «پروژه‌های NPD»، پروژه جدید تعریف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در تب «فرمولاسیون»، اجزای فرمول محصول جدید را با درصد وزنی و شماره CAS ثبت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در تب «لاگ آزمایشگاهی»، نتایج آزمون‌ها را ثبت کرده و با مشخصات هدف مقایسه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۴. پس از تأیید نهایی، فرمول با یک کلیک به عنوان BOM رسمی خط تولید فعال می‌شود.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۵) ماژول مرکز تلفن هوشمند و CRM صوتی (VoIP &amp; Call Center)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با زنگ خوردن تلفن شرکت، پنجره Pop-Up هوشمند روی مانیتور اپراتور ظاهر می‌شود.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اپراتور نام مشتری، مانده بدهی، آخرین فاکتورها و سوابق خریدهای قبلی را مشاهده می‌کند.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پس از پایان مکالمه، نتیجه تماس و یادداشت CRM ثبت شده و فایل صوتی ضبط‌شده خودکار در DMS ذخیره می‌شود.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۶) ماژول امور حقوقی، قراردادها و دعاوی (Legal)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در منوی «امور حقوقی»، تب «شناسنامه پرونده‌ها» را باز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پرونده حقوقی یا دادخواستی جدید با مشخصات خواهان، خوانده و مرجع قضایی ثبت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در تب «تقویم جلسات»، زمان دادگاه‌ها و مهلت‌های تجدیدنظرخواهی را ثبت کنید تا سیستم آلارم دهد.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۴. در تب «وکلا»، قراردادهای وکالت و صورت‌حساب حق‌الوکاله‌ها را مدیریت کنید.</w:t>
      </w:r>
    </w:p>
    <w:p>
      <w:pPr>
        <w:bidi/>
        <w:spacing w:before="240" w:after="120"/>
        <w:jc w:val="right"/>
      </w:pPr>
      <w:r>
        <w:rPr>
          <w:rFonts w:ascii="B Nazanin" w:hAnsi="B Nazanin"/>
          <w:b/>
          <w:color w:val="1E5FA5"/>
          <w:sz w:val="27"/>
        </w:rPr>
        <w:t>۷) ماژول وب‌سرویس و API فروشگاه (E-Commerce &amp; Mobile POS API)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۱. در پنل API، کلیدهای دسترسی JWT و Webhook فروشگاه اینترنتی یا پوز همراه را تنظیم کنید.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۲. موجودی کالاها و قیمت‌ها به صورت زنده (Real-Time) با وب‌سایت همگام‌سازی می‌شود.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232323"/>
          <w:sz w:val="22"/>
        </w:rPr>
        <w:t>۳. خریدهای آنلاین مشتریان مستقیماً به عنوان فاکتور فروش در نگار ثبت و حواله انبار صادر می‌شود.</w:t>
      </w:r>
    </w:p>
    <w:p>
      <w:pPr>
        <w:bidi/>
        <w:spacing w:before="320" w:after="160"/>
        <w:jc w:val="right"/>
      </w:pPr>
      <w:r>
        <w:rPr>
          <w:rFonts w:ascii="B Nazanin" w:hAnsi="B Nazanin"/>
          <w:b/>
          <w:color w:val="0F3C7D"/>
          <w:sz w:val="32"/>
        </w:rPr>
        <w:t>۵. ویژگی‌های برجسته فنی و کاربری نگار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0F3C7D"/>
          <w:sz w:val="22"/>
        </w:rPr>
        <w:t xml:space="preserve">▪ </w:t>
      </w:r>
      <w:r>
        <w:rPr>
          <w:rFonts w:ascii="B Nazanin" w:hAnsi="B Nazanin"/>
          <w:b/>
          <w:color w:val="141414"/>
          <w:sz w:val="22"/>
        </w:rPr>
        <w:t xml:space="preserve">• پشتیبانی کامل از راست‌به‌چپ (RTL): </w:t>
      </w:r>
      <w:r>
        <w:rPr>
          <w:rFonts w:ascii="B Nazanin" w:hAnsi="B Nazanin"/>
          <w:color w:val="232323"/>
          <w:sz w:val="22"/>
        </w:rPr>
        <w:t>واسط کاربری مدرن با پشتیبانی کامل از زبان فارسی و تاریخ شمسی دقیق.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0F3C7D"/>
          <w:sz w:val="22"/>
        </w:rPr>
        <w:t xml:space="preserve">▪ </w:t>
      </w:r>
      <w:r>
        <w:rPr>
          <w:rFonts w:ascii="B Nazanin" w:hAnsi="B Nazanin"/>
          <w:b/>
          <w:color w:val="141414"/>
          <w:sz w:val="22"/>
        </w:rPr>
        <w:t xml:space="preserve">• چندشرکته و چندسال‌مالی: </w:t>
      </w:r>
      <w:r>
        <w:rPr>
          <w:rFonts w:ascii="B Nazanin" w:hAnsi="B Nazanin"/>
          <w:color w:val="232323"/>
          <w:sz w:val="22"/>
        </w:rPr>
        <w:t>مدیریت بی‌نهایت شرکت و سال مالی با گزارشات تلفیقی هلدینگی.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0F3C7D"/>
          <w:sz w:val="22"/>
        </w:rPr>
        <w:t xml:space="preserve">▪ </w:t>
      </w:r>
      <w:r>
        <w:rPr>
          <w:rFonts w:ascii="B Nazanin" w:hAnsi="B Nazanin"/>
          <w:b/>
          <w:color w:val="141414"/>
          <w:sz w:val="22"/>
        </w:rPr>
        <w:t xml:space="preserve">• شخصی‌سازی تم و داشبورد: </w:t>
      </w:r>
      <w:r>
        <w:rPr>
          <w:rFonts w:ascii="B Nazanin" w:hAnsi="B Nazanin"/>
          <w:color w:val="232323"/>
          <w:sz w:val="22"/>
        </w:rPr>
        <w:t>پشتیبانی از تم‌های بصری متنوع و قابلیت سفارشی‌سازی داشبورد هر کاربر.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0F3C7D"/>
          <w:sz w:val="22"/>
        </w:rPr>
        <w:t xml:space="preserve">▪ </w:t>
      </w:r>
      <w:r>
        <w:rPr>
          <w:rFonts w:ascii="B Nazanin" w:hAnsi="B Nazanin"/>
          <w:b/>
          <w:color w:val="141414"/>
          <w:sz w:val="22"/>
        </w:rPr>
        <w:t xml:space="preserve">• انطباق با قوانین مالیاتی ایران: </w:t>
      </w:r>
      <w:r>
        <w:rPr>
          <w:rFonts w:ascii="B Nazanin" w:hAnsi="B Nazanin"/>
          <w:color w:val="232323"/>
          <w:sz w:val="22"/>
        </w:rPr>
        <w:t>سازگاری کامل با سامانه مودیان و قوانین مالیاتی کشور.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