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before="200" w:after="240"/>
        <w:jc w:val="center"/>
      </w:pPr>
      <w:r>
        <w:rPr>
          <w:rFonts w:ascii="B Nazanin" w:hAnsi="B Nazanin"/>
          <w:b/>
          <w:color w:val="184C78"/>
          <w:sz w:val="40"/>
        </w:rPr>
        <w:t>معماری و سناریوی جامع سیستم بودجه و کنترل هزینه‌ها (Budgeting &amp; Cost Control)</w:t>
      </w:r>
    </w:p>
    <w:p>
      <w:pPr>
        <w:bidi/>
        <w:spacing w:before="0" w:after="360"/>
        <w:jc w:val="center"/>
      </w:pPr>
      <w:r>
        <w:rPr>
          <w:rFonts w:ascii="B Nazanin" w:hAnsi="B Nazanin"/>
          <w:i/>
          <w:color w:val="646E78"/>
          <w:sz w:val="26"/>
        </w:rPr>
        <w:t>توضیحات تفصیلی تدوین بودجه، کنترل انحرافات زنده، انضباط مالی و یکپارچگی با نرم‌افزار نگار</w:t>
      </w:r>
    </w:p>
    <w:p>
      <w:pPr>
        <w:bidi/>
        <w:spacing w:before="280" w:after="160"/>
        <w:jc w:val="right"/>
      </w:pPr>
      <w:r>
        <w:rPr>
          <w:rFonts w:ascii="B Nazanin" w:hAnsi="B Nazanin"/>
          <w:b/>
          <w:color w:val="1F4E79"/>
          <w:sz w:val="30"/>
        </w:rPr>
        <w:t>۱. مقدمه و ضرورت انضباط مالی در سازمان‌ها</w:t>
      </w:r>
    </w:p>
    <w:p>
      <w:pPr>
        <w:bidi/>
        <w:spacing w:before="60" w:after="100" w:line="276" w:lineRule="auto"/>
        <w:jc w:val="right"/>
      </w:pPr>
      <w:r>
        <w:rPr>
          <w:rFonts w:ascii="B Nazanin" w:hAnsi="B Nazanin"/>
          <w:color w:val="282828"/>
          <w:sz w:val="22"/>
        </w:rPr>
        <w:t>سیستم بودجه و کنترل هزینه‌ها، نقشه راه و قطب‌نمای مالی یک بنگاه اقتصادی است. حسابداری سنتی صرفاً رویدادهای مالی گذشته را ثبت می‌کند، اما سیستم کنترل بودجه، رویکردی پیشگیرانه (Predictive) دارد که مانع از هزینه‌کردهای بدون برنامه و خروج سازمان از ریل مالی مصوب می‌شود.</w:t>
      </w:r>
    </w:p>
    <w:p>
      <w:pPr>
        <w:bidi/>
        <w:spacing w:before="60" w:after="100" w:line="276" w:lineRule="auto"/>
        <w:jc w:val="right"/>
      </w:pPr>
      <w:r>
        <w:rPr>
          <w:rFonts w:ascii="B Nazanin" w:hAnsi="B Nazanin"/>
          <w:color w:val="282828"/>
          <w:sz w:val="22"/>
        </w:rPr>
        <w:t>در یک ERP یکپارچه مانند نگار، بودجه فقط یک فایل اکسل پیش‌بینی نیست؛ بلکه کنترل‌کننده‌ای هوشمند در لایه دیتابیس است که سقف اعتبارات هر مرکز هزینه را در زمان ثبت اسناد ارزیابی می‌کند.</w:t>
      </w:r>
    </w:p>
    <w:p>
      <w:pPr>
        <w:bidi/>
        <w:spacing w:before="280" w:after="160"/>
        <w:jc w:val="right"/>
      </w:pPr>
      <w:r>
        <w:rPr>
          <w:rFonts w:ascii="B Nazanin" w:hAnsi="B Nazanin"/>
          <w:b/>
          <w:color w:val="1F4E79"/>
          <w:sz w:val="30"/>
        </w:rPr>
        <w:t>۲. ماژول‌ها و فرآیندهای تفصیلی سیستم بودجه و کنترل هزینه‌ها</w:t>
      </w:r>
    </w:p>
    <w:p>
      <w:pPr>
        <w:bidi/>
        <w:spacing w:before="200" w:after="120"/>
        <w:jc w:val="right"/>
      </w:pPr>
      <w:r>
        <w:rPr>
          <w:rFonts w:ascii="B Nazanin" w:hAnsi="B Nazanin"/>
          <w:b/>
          <w:color w:val="2E75B6"/>
          <w:sz w:val="26"/>
        </w:rPr>
        <w:t>الف) تدوین و ثبت بودجه مصوب سالانه (Budget Planning)</w:t>
      </w:r>
    </w:p>
    <w:p>
      <w:pPr>
        <w:bidi/>
        <w:spacing w:before="60" w:after="100" w:line="276" w:lineRule="auto"/>
        <w:jc w:val="right"/>
      </w:pPr>
      <w:r>
        <w:rPr>
          <w:rFonts w:ascii="B Nazanin" w:hAnsi="B Nazanin"/>
          <w:color w:val="282828"/>
          <w:sz w:val="22"/>
        </w:rPr>
        <w:t>تعریف ساختار دقیق بودجه به تفکیک مراکزهزینه، واحدهای سازمانی، پروژه‌ها و حساب‌های معین و تفصیلی:</w:t>
      </w:r>
    </w:p>
    <w:p>
      <w:pPr>
        <w:bidi/>
        <w:spacing w:before="60" w:after="100" w:line="276" w:lineRule="auto"/>
        <w:jc w:val="right"/>
      </w:pPr>
      <w:r>
        <w:rPr>
          <w:rFonts w:ascii="B Nazanin" w:hAnsi="B Nazanin"/>
          <w:color w:val="1F4E79"/>
          <w:sz w:val="22"/>
        </w:rPr>
        <w:t xml:space="preserve">▪ </w:t>
      </w:r>
      <w:r>
        <w:rPr>
          <w:rFonts w:ascii="B Nazanin" w:hAnsi="B Nazanin"/>
          <w:b/>
          <w:color w:val="1E1E1E"/>
          <w:sz w:val="22"/>
        </w:rPr>
        <w:t xml:space="preserve">• تفکیک بودجه جاری و سرمایه‌ای: </w:t>
      </w:r>
      <w:r>
        <w:rPr>
          <w:rFonts w:ascii="B Nazanin" w:hAnsi="B Nazanin"/>
          <w:color w:val="282828"/>
          <w:sz w:val="22"/>
        </w:rPr>
        <w:t>تعریف بودجه عملیاتی (درآمدها و هزینه‌های جاری) و بودجه سرمایه‌ای (خرید اموال و دارایی‌های ثابت).</w:t>
      </w:r>
    </w:p>
    <w:p>
      <w:pPr>
        <w:bidi/>
        <w:spacing w:before="60" w:after="100" w:line="276" w:lineRule="auto"/>
        <w:jc w:val="right"/>
      </w:pPr>
      <w:r>
        <w:rPr>
          <w:rFonts w:ascii="B Nazanin" w:hAnsi="B Nazanin"/>
          <w:color w:val="1F4E79"/>
          <w:sz w:val="22"/>
        </w:rPr>
        <w:t xml:space="preserve">▪ </w:t>
      </w:r>
      <w:r>
        <w:rPr>
          <w:rFonts w:ascii="B Nazanin" w:hAnsi="B Nazanin"/>
          <w:b/>
          <w:color w:val="1E1E1E"/>
          <w:sz w:val="22"/>
        </w:rPr>
        <w:t xml:space="preserve">• زمان‌بندی و تفکیک دوره‌ای: </w:t>
      </w:r>
      <w:r>
        <w:rPr>
          <w:rFonts w:ascii="B Nazanin" w:hAnsi="B Nazanin"/>
          <w:color w:val="282828"/>
          <w:sz w:val="22"/>
        </w:rPr>
        <w:t>شکست بودجه سالانه به دوره‌های ماهانه و سه ماهه جهت پایش مداوم انحرافات.</w:t>
      </w:r>
    </w:p>
    <w:p>
      <w:pPr>
        <w:bidi/>
        <w:spacing w:before="60" w:after="100" w:line="276" w:lineRule="auto"/>
        <w:jc w:val="right"/>
      </w:pPr>
      <w:r>
        <w:rPr>
          <w:rFonts w:ascii="B Nazanin" w:hAnsi="B Nazanin"/>
          <w:color w:val="1F4E79"/>
          <w:sz w:val="22"/>
        </w:rPr>
        <w:t xml:space="preserve">▪ </w:t>
      </w:r>
      <w:r>
        <w:rPr>
          <w:rFonts w:ascii="B Nazanin" w:hAnsi="B Nazanin"/>
          <w:b/>
          <w:color w:val="1E1E1E"/>
          <w:sz w:val="22"/>
        </w:rPr>
        <w:t xml:space="preserve">• تصویب و قفل بودجه (Final Lock): </w:t>
      </w:r>
      <w:r>
        <w:rPr>
          <w:rFonts w:ascii="B Nazanin" w:hAnsi="B Nazanin"/>
          <w:color w:val="282828"/>
          <w:sz w:val="22"/>
        </w:rPr>
        <w:t>فرآیند تصویب هیئت مدیره و قفل کردن نسخه نهایی بودجه سالانه.</w:t>
      </w:r>
    </w:p>
    <w:p>
      <w:pPr>
        <w:bidi/>
        <w:spacing w:before="200" w:after="120"/>
        <w:jc w:val="right"/>
      </w:pPr>
      <w:r>
        <w:rPr>
          <w:rFonts w:ascii="B Nazanin" w:hAnsi="B Nazanin"/>
          <w:b/>
          <w:color w:val="2E75B6"/>
          <w:sz w:val="26"/>
        </w:rPr>
        <w:t>ب) مکانیسم کنترل انحراف بودجه در لحظه (Real-time Budget Enforcement)</w:t>
      </w:r>
    </w:p>
    <w:p>
      <w:pPr>
        <w:bidi/>
        <w:spacing w:before="60" w:after="100" w:line="276" w:lineRule="auto"/>
        <w:jc w:val="right"/>
      </w:pPr>
      <w:r>
        <w:rPr>
          <w:rFonts w:ascii="B Nazanin" w:hAnsi="B Nazanin"/>
          <w:color w:val="282828"/>
          <w:sz w:val="22"/>
        </w:rPr>
        <w:t>ارزیابی هوشمند سقف اعتبار در هنگام ثبت هر فاکتور خرید، درخواست وجه یا سند هزینه:</w:t>
      </w:r>
    </w:p>
    <w:p>
      <w:pPr>
        <w:bidi/>
        <w:spacing w:before="60" w:after="100" w:line="276" w:lineRule="auto"/>
        <w:jc w:val="right"/>
      </w:pPr>
      <w:r>
        <w:rPr>
          <w:rFonts w:ascii="B Nazanin" w:hAnsi="B Nazanin"/>
          <w:color w:val="1F4E79"/>
          <w:sz w:val="22"/>
        </w:rPr>
        <w:t xml:space="preserve">▪ </w:t>
      </w:r>
      <w:r>
        <w:rPr>
          <w:rFonts w:ascii="B Nazanin" w:hAnsi="B Nazanin"/>
          <w:b/>
          <w:color w:val="1E1E1E"/>
          <w:sz w:val="22"/>
        </w:rPr>
        <w:t xml:space="preserve">• هشدارهای پیشگیرانه: </w:t>
      </w:r>
      <w:r>
        <w:rPr>
          <w:rFonts w:ascii="B Nazanin" w:hAnsi="B Nazanin"/>
          <w:color w:val="282828"/>
          <w:sz w:val="22"/>
        </w:rPr>
        <w:t>هشدار زنده به کاربر و مدیر در صورت رسیدن هزینه به ۸۰٪ یا ۹۰٪ سقف بودجه مصوب.</w:t>
      </w:r>
    </w:p>
    <w:p>
      <w:pPr>
        <w:bidi/>
        <w:spacing w:before="60" w:after="100" w:line="276" w:lineRule="auto"/>
        <w:jc w:val="right"/>
      </w:pPr>
      <w:r>
        <w:rPr>
          <w:rFonts w:ascii="B Nazanin" w:hAnsi="B Nazanin"/>
          <w:color w:val="1F4E79"/>
          <w:sz w:val="22"/>
        </w:rPr>
        <w:t xml:space="preserve">▪ </w:t>
      </w:r>
      <w:r>
        <w:rPr>
          <w:rFonts w:ascii="B Nazanin" w:hAnsi="B Nazanin"/>
          <w:b/>
          <w:color w:val="1E1E1E"/>
          <w:sz w:val="22"/>
        </w:rPr>
        <w:t xml:space="preserve">• قفل سخت‌افزاری/نرم‌افزاری (Hard Stop): </w:t>
      </w:r>
      <w:r>
        <w:rPr>
          <w:rFonts w:ascii="B Nazanin" w:hAnsi="B Nazanin"/>
          <w:color w:val="282828"/>
          <w:sz w:val="22"/>
        </w:rPr>
        <w:t>جلوگیری سیستم از ذخیره سند در صورت عبور از ۱۰۰٪ سقف اعتبار بودجه مگر با مجوز خاص مدیر مالی.</w:t>
      </w:r>
    </w:p>
    <w:p>
      <w:pPr>
        <w:bidi/>
        <w:spacing w:before="200" w:after="120"/>
        <w:jc w:val="right"/>
      </w:pPr>
      <w:r>
        <w:rPr>
          <w:rFonts w:ascii="B Nazanin" w:hAnsi="B Nazanin"/>
          <w:b/>
          <w:color w:val="2E75B6"/>
          <w:sz w:val="26"/>
        </w:rPr>
        <w:t>ج) تحلیل انحرافات بودجه (Variance Analysis)</w:t>
      </w:r>
    </w:p>
    <w:p>
      <w:pPr>
        <w:bidi/>
        <w:spacing w:before="60" w:after="100" w:line="276" w:lineRule="auto"/>
        <w:jc w:val="right"/>
      </w:pPr>
      <w:r>
        <w:rPr>
          <w:rFonts w:ascii="B Nazanin" w:hAnsi="B Nazanin"/>
          <w:color w:val="282828"/>
          <w:sz w:val="22"/>
        </w:rPr>
        <w:t>مقایسه سه لایه اطلاعاتی: بودجه مصوب (Budgeted) 🟢 vs عملکرد واقعی (Actual) 🔵 vs میزان انحراف (Variance) 🔴:</w:t>
      </w:r>
    </w:p>
    <w:p>
      <w:pPr>
        <w:bidi/>
        <w:spacing w:before="60" w:after="100" w:line="276" w:lineRule="auto"/>
        <w:jc w:val="right"/>
      </w:pPr>
      <w:r>
        <w:rPr>
          <w:rFonts w:ascii="B Nazanin" w:hAnsi="B Nazanin"/>
          <w:color w:val="1F4E79"/>
          <w:sz w:val="22"/>
        </w:rPr>
        <w:t xml:space="preserve">▪ </w:t>
      </w:r>
      <w:r>
        <w:rPr>
          <w:rFonts w:ascii="B Nazanin" w:hAnsi="B Nazanin"/>
          <w:b/>
          <w:color w:val="1E1E1E"/>
          <w:sz w:val="22"/>
        </w:rPr>
        <w:t xml:space="preserve">• تحلیل انحرافات مساعد و نامساعد: </w:t>
      </w:r>
      <w:r>
        <w:rPr>
          <w:rFonts w:ascii="B Nazanin" w:hAnsi="B Nazanin"/>
          <w:color w:val="282828"/>
          <w:sz w:val="22"/>
        </w:rPr>
        <w:t>شناسایی انحرافات مثبت (صرفه‌جویی در هزینه) و انحرافات منفی (هزینه‌کرد مازاد).</w:t>
      </w:r>
    </w:p>
    <w:p>
      <w:pPr>
        <w:bidi/>
        <w:spacing w:before="200" w:after="120"/>
        <w:jc w:val="right"/>
      </w:pPr>
      <w:r>
        <w:rPr>
          <w:rFonts w:ascii="B Nazanin" w:hAnsi="B Nazanin"/>
          <w:b/>
          <w:color w:val="2E75B6"/>
          <w:sz w:val="26"/>
        </w:rPr>
        <w:t>د) متمم بودجه و اصلاحات (Budget Amendment &amp; Virement)</w:t>
      </w:r>
    </w:p>
    <w:p>
      <w:pPr>
        <w:bidi/>
        <w:spacing w:before="60" w:after="100" w:line="276" w:lineRule="auto"/>
        <w:jc w:val="right"/>
      </w:pPr>
      <w:r>
        <w:rPr>
          <w:rFonts w:ascii="B Nazanin" w:hAnsi="B Nazanin"/>
          <w:color w:val="282828"/>
          <w:sz w:val="22"/>
        </w:rPr>
        <w:t>جابجایی اعتبار بین ردیف‌های بودجه (اصلاح ردیف‌ها) یا ثبت متمم بودجه در صورت تغییر شرایط تورمی یا افزایش حجم فعالیت شرکت.</w:t>
      </w:r>
    </w:p>
    <w:p>
      <w:pPr>
        <w:bidi/>
        <w:spacing w:before="280" w:after="160"/>
        <w:jc w:val="right"/>
      </w:pPr>
      <w:r>
        <w:rPr>
          <w:rFonts w:ascii="B Nazanin" w:hAnsi="B Nazanin"/>
          <w:b/>
          <w:color w:val="1F4E79"/>
          <w:sz w:val="30"/>
        </w:rPr>
        <w:t>۳. چگونگی یکپارچگی سیستم بودجه با سایر بخش‌های نرم‌افزار نگار</w:t>
      </w:r>
    </w:p>
    <w:p>
      <w:pPr>
        <w:bidi/>
        <w:spacing w:before="60" w:after="100" w:line="276" w:lineRule="auto"/>
        <w:jc w:val="right"/>
      </w:pPr>
      <w:r>
        <w:rPr>
          <w:rFonts w:ascii="B Nazanin" w:hAnsi="B Nazanin"/>
          <w:color w:val="282828"/>
          <w:sz w:val="22"/>
        </w:rPr>
        <w:t>سیستم بودجه به عنوان ناظر ارشد، با تمامی بخش‌های عملیاتی پروژه نگار یکپارچه است:</w:t>
      </w:r>
    </w:p>
    <w:tbl>
      <w:tblPr>
        <w:tblW w:type="auto" w:w="0"/>
        <w:jc w:val="center"/>
        <w:tblLook w:firstColumn="1" w:firstRow="1" w:lastColumn="0" w:lastRow="0" w:noHBand="0" w:noVBand="1" w:val="04A0"/>
        <w:bidiVisual/>
      </w:tblPr>
      <w:tblGrid>
        <w:gridCol w:w="3312"/>
        <w:gridCol w:w="3312"/>
        <w:gridCol w:w="3312"/>
      </w:tblGrid>
      <w:tr>
        <w:tc>
          <w:tcPr>
            <w:tcW w:type="dxa" w:w="3312"/>
            <w:shd w:fill="1F4E79"/>
            <w:tcMar>
              <w:top w:w="140" w:type="dxa"/>
              <w:bottom w:w="140" w:type="dxa"/>
              <w:left w:w="150" w:type="dxa"/>
              <w:right w:w="150" w:type="dxa"/>
            </w:tcMar>
          </w:tcPr>
          <w:p>
            <w:pPr>
              <w:bidi/>
              <w:jc w:val="center"/>
            </w:pPr>
            <w:r>
              <w:rPr>
                <w:rFonts w:ascii="B Nazanin" w:hAnsi="B Nazanin"/>
                <w:b/>
                <w:color w:val="FFFFFF"/>
                <w:sz w:val="22"/>
              </w:rPr>
              <w:t>بخش مربوطه در نگار</w:t>
            </w:r>
          </w:p>
        </w:tc>
        <w:tc>
          <w:tcPr>
            <w:tcW w:type="dxa" w:w="3312"/>
            <w:shd w:fill="1F4E79"/>
            <w:tcMar>
              <w:top w:w="140" w:type="dxa"/>
              <w:bottom w:w="140" w:type="dxa"/>
              <w:left w:w="150" w:type="dxa"/>
              <w:right w:w="150" w:type="dxa"/>
            </w:tcMar>
          </w:tcPr>
          <w:p>
            <w:pPr>
              <w:bidi/>
              <w:jc w:val="center"/>
            </w:pPr>
            <w:r>
              <w:rPr>
                <w:rFonts w:ascii="B Nazanin" w:hAnsi="B Nazanin"/>
                <w:b/>
                <w:color w:val="FFFFFF"/>
                <w:sz w:val="22"/>
              </w:rPr>
              <w:t>نحوه ارتباط و تبادل داده با سیستم بودجه</w:t>
            </w:r>
          </w:p>
        </w:tc>
        <w:tc>
          <w:tcPr>
            <w:tcW w:type="dxa" w:w="3312"/>
            <w:shd w:fill="1F4E79"/>
            <w:tcMar>
              <w:top w:w="140" w:type="dxa"/>
              <w:bottom w:w="140" w:type="dxa"/>
              <w:left w:w="150" w:type="dxa"/>
              <w:right w:w="150" w:type="dxa"/>
            </w:tcMar>
          </w:tcPr>
          <w:p>
            <w:pPr>
              <w:bidi/>
              <w:jc w:val="center"/>
            </w:pPr>
            <w:r>
              <w:rPr>
                <w:rFonts w:ascii="B Nazanin" w:hAnsi="B Nazanin"/>
                <w:b/>
                <w:color w:val="FFFFFF"/>
                <w:sz w:val="22"/>
              </w:rPr>
              <w:t>دستاورد و ارزش افزوده عملیاتی</w:t>
            </w:r>
          </w:p>
        </w:tc>
      </w:tr>
      <w:tr>
        <w:tc>
          <w:tcPr>
            <w:tcW w:type="dxa" w:w="3312"/>
            <w:shd w:fill="FFFFFF"/>
            <w:tcMar>
              <w:top w:w="100" w:type="dxa"/>
              <w:bottom w:w="100" w:type="dxa"/>
              <w:left w:w="120" w:type="dxa"/>
              <w:right w:w="120" w:type="dxa"/>
            </w:tcMar>
          </w:tcPr>
          <w:p>
            <w:pPr>
              <w:bidi/>
              <w:jc w:val="right"/>
            </w:pPr>
            <w:r>
              <w:rPr>
                <w:rFonts w:ascii="B Nazanin" w:hAnsi="B Nazanin"/>
                <w:color w:val="1E1E1E"/>
                <w:sz w:val="20"/>
              </w:rPr>
              <w:t>۱. حسابداری مالی (Financial Accounting)</w:t>
            </w:r>
          </w:p>
        </w:tc>
        <w:tc>
          <w:tcPr>
            <w:tcW w:type="dxa" w:w="3312"/>
            <w:shd w:fill="FFFFFF"/>
            <w:tcMar>
              <w:top w:w="100" w:type="dxa"/>
              <w:bottom w:w="100" w:type="dxa"/>
              <w:left w:w="120" w:type="dxa"/>
              <w:right w:w="120" w:type="dxa"/>
            </w:tcMar>
          </w:tcPr>
          <w:p>
            <w:pPr>
              <w:bidi/>
              <w:jc w:val="right"/>
            </w:pPr>
            <w:r>
              <w:rPr>
                <w:rFonts w:ascii="B Nazanin" w:hAnsi="B Nazanin"/>
                <w:color w:val="1E1E1E"/>
                <w:sz w:val="20"/>
              </w:rPr>
              <w:t>کنترل مانده اعتبار بودجه معین/تفصیلی قبل از صدور هر سند هزینه یا پرداخت و درج گزارش انحراف بودجه در سند.</w:t>
            </w:r>
          </w:p>
        </w:tc>
        <w:tc>
          <w:tcPr>
            <w:tcW w:type="dxa" w:w="3312"/>
            <w:shd w:fill="FFFFFF"/>
            <w:tcMar>
              <w:top w:w="100" w:type="dxa"/>
              <w:bottom w:w="100" w:type="dxa"/>
              <w:left w:w="120" w:type="dxa"/>
              <w:right w:w="120" w:type="dxa"/>
            </w:tcMar>
          </w:tcPr>
          <w:p>
            <w:pPr>
              <w:bidi/>
              <w:jc w:val="right"/>
            </w:pPr>
            <w:r>
              <w:rPr>
                <w:rFonts w:ascii="B Nazanin" w:hAnsi="B Nazanin"/>
                <w:color w:val="1E1E1E"/>
                <w:sz w:val="20"/>
              </w:rPr>
              <w:t>جلوگیری کامل از ثبت اسناد هزینه‌ای بدون اعتبار مصوب در سیستم مالی.</w:t>
            </w:r>
          </w:p>
        </w:tc>
      </w:tr>
      <w:tr>
        <w:tc>
          <w:tcPr>
            <w:tcW w:type="dxa" w:w="3312"/>
            <w:shd w:fill="F2F5F8"/>
            <w:tcMar>
              <w:top w:w="100" w:type="dxa"/>
              <w:bottom w:w="100" w:type="dxa"/>
              <w:left w:w="120" w:type="dxa"/>
              <w:right w:w="120" w:type="dxa"/>
            </w:tcMar>
          </w:tcPr>
          <w:p>
            <w:pPr>
              <w:bidi/>
              <w:jc w:val="right"/>
            </w:pPr>
            <w:r>
              <w:rPr>
                <w:rFonts w:ascii="B Nazanin" w:hAnsi="B Nazanin"/>
                <w:color w:val="1E1E1E"/>
                <w:sz w:val="20"/>
              </w:rPr>
              <w:t>۲. خرید، فروش و انبارداری (Trade &amp; Warehouse)</w:t>
            </w:r>
          </w:p>
        </w:tc>
        <w:tc>
          <w:tcPr>
            <w:tcW w:type="dxa" w:w="3312"/>
            <w:shd w:fill="F2F5F8"/>
            <w:tcMar>
              <w:top w:w="100" w:type="dxa"/>
              <w:bottom w:w="100" w:type="dxa"/>
              <w:left w:w="120" w:type="dxa"/>
              <w:right w:w="120" w:type="dxa"/>
            </w:tcMar>
          </w:tcPr>
          <w:p>
            <w:pPr>
              <w:bidi/>
              <w:jc w:val="right"/>
            </w:pPr>
            <w:r>
              <w:rPr>
                <w:rFonts w:ascii="B Nazanin" w:hAnsi="B Nazanin"/>
                <w:color w:val="1E1E1E"/>
                <w:sz w:val="20"/>
              </w:rPr>
              <w:t>کنترل سقف اعتبار سفارشات خرید مواد اولیه و کالا با بودجه خرید مصوب سازمان قبل از صدور فاکتور خرید.</w:t>
            </w:r>
          </w:p>
        </w:tc>
        <w:tc>
          <w:tcPr>
            <w:tcW w:type="dxa" w:w="3312"/>
            <w:shd w:fill="F2F5F8"/>
            <w:tcMar>
              <w:top w:w="100" w:type="dxa"/>
              <w:bottom w:w="100" w:type="dxa"/>
              <w:left w:w="120" w:type="dxa"/>
              <w:right w:w="120" w:type="dxa"/>
            </w:tcMar>
          </w:tcPr>
          <w:p>
            <w:pPr>
              <w:bidi/>
              <w:jc w:val="right"/>
            </w:pPr>
            <w:r>
              <w:rPr>
                <w:rFonts w:ascii="B Nazanin" w:hAnsi="B Nazanin"/>
                <w:color w:val="1E1E1E"/>
                <w:sz w:val="20"/>
              </w:rPr>
              <w:t>جلوگیری از انباشت غیرمجاز کالا در انبار و هزینه‌کردهای مازاد بر سقف خرید.</w:t>
            </w:r>
          </w:p>
        </w:tc>
      </w:tr>
      <w:tr>
        <w:tc>
          <w:tcPr>
            <w:tcW w:type="dxa" w:w="3312"/>
            <w:shd w:fill="FFFFFF"/>
            <w:tcMar>
              <w:top w:w="100" w:type="dxa"/>
              <w:bottom w:w="100" w:type="dxa"/>
              <w:left w:w="120" w:type="dxa"/>
              <w:right w:w="120" w:type="dxa"/>
            </w:tcMar>
          </w:tcPr>
          <w:p>
            <w:pPr>
              <w:bidi/>
              <w:jc w:val="right"/>
            </w:pPr>
            <w:r>
              <w:rPr>
                <w:rFonts w:ascii="B Nazanin" w:hAnsi="B Nazanin"/>
                <w:color w:val="1E1E1E"/>
                <w:sz w:val="20"/>
              </w:rPr>
              <w:t>۳. حقوق و دستمزد (Payroll)</w:t>
            </w:r>
          </w:p>
        </w:tc>
        <w:tc>
          <w:tcPr>
            <w:tcW w:type="dxa" w:w="3312"/>
            <w:shd w:fill="FFFFFF"/>
            <w:tcMar>
              <w:top w:w="100" w:type="dxa"/>
              <w:bottom w:w="100" w:type="dxa"/>
              <w:left w:w="120" w:type="dxa"/>
              <w:right w:w="120" w:type="dxa"/>
            </w:tcMar>
          </w:tcPr>
          <w:p>
            <w:pPr>
              <w:bidi/>
              <w:jc w:val="right"/>
            </w:pPr>
            <w:r>
              <w:rPr>
                <w:rFonts w:ascii="B Nazanin" w:hAnsi="B Nazanin"/>
                <w:color w:val="1E1E1E"/>
                <w:sz w:val="20"/>
              </w:rPr>
              <w:t>پایش سقف هزینه دستمزد، مزایا و اضافه‌کاری پرسنل به تفکیک مراکزهزینه در زمان محاسبه لیست حقوق ماهانه.</w:t>
            </w:r>
          </w:p>
        </w:tc>
        <w:tc>
          <w:tcPr>
            <w:tcW w:type="dxa" w:w="3312"/>
            <w:shd w:fill="FFFFFF"/>
            <w:tcMar>
              <w:top w:w="100" w:type="dxa"/>
              <w:bottom w:w="100" w:type="dxa"/>
              <w:left w:w="120" w:type="dxa"/>
              <w:right w:w="120" w:type="dxa"/>
            </w:tcMar>
          </w:tcPr>
          <w:p>
            <w:pPr>
              <w:bidi/>
              <w:jc w:val="right"/>
            </w:pPr>
            <w:r>
              <w:rPr>
                <w:rFonts w:ascii="B Nazanin" w:hAnsi="B Nazanin"/>
                <w:color w:val="1E1E1E"/>
                <w:sz w:val="20"/>
              </w:rPr>
              <w:t>کنترل خطای محاسباتی یا افزایش بی‌رویه اضافه‌کاری و هزینه‌های پرسنلی.</w:t>
            </w:r>
          </w:p>
        </w:tc>
      </w:tr>
      <w:tr>
        <w:tc>
          <w:tcPr>
            <w:tcW w:type="dxa" w:w="3312"/>
            <w:shd w:fill="F2F5F8"/>
            <w:tcMar>
              <w:top w:w="100" w:type="dxa"/>
              <w:bottom w:w="100" w:type="dxa"/>
              <w:left w:w="120" w:type="dxa"/>
              <w:right w:w="120" w:type="dxa"/>
            </w:tcMar>
          </w:tcPr>
          <w:p>
            <w:pPr>
              <w:bidi/>
              <w:jc w:val="right"/>
            </w:pPr>
            <w:r>
              <w:rPr>
                <w:rFonts w:ascii="B Nazanin" w:hAnsi="B Nazanin"/>
                <w:color w:val="1E1E1E"/>
                <w:sz w:val="20"/>
              </w:rPr>
              <w:t>۴. خزانه‌داری و مدیریت نقدینگی (Treasury)</w:t>
            </w:r>
          </w:p>
        </w:tc>
        <w:tc>
          <w:tcPr>
            <w:tcW w:type="dxa" w:w="3312"/>
            <w:shd w:fill="F2F5F8"/>
            <w:tcMar>
              <w:top w:w="100" w:type="dxa"/>
              <w:bottom w:w="100" w:type="dxa"/>
              <w:left w:w="120" w:type="dxa"/>
              <w:right w:w="120" w:type="dxa"/>
            </w:tcMar>
          </w:tcPr>
          <w:p>
            <w:pPr>
              <w:bidi/>
              <w:jc w:val="right"/>
            </w:pPr>
            <w:r>
              <w:rPr>
                <w:rFonts w:ascii="B Nazanin" w:hAnsi="B Nazanin"/>
                <w:color w:val="1E1E1E"/>
                <w:sz w:val="20"/>
              </w:rPr>
              <w:t>تطبیق خروجی‌های نقدینگی و چک‌های پرداختی با ردیف‌های بودجه نقدی سازمان.</w:t>
            </w:r>
          </w:p>
        </w:tc>
        <w:tc>
          <w:tcPr>
            <w:tcW w:type="dxa" w:w="3312"/>
            <w:shd w:fill="F2F5F8"/>
            <w:tcMar>
              <w:top w:w="100" w:type="dxa"/>
              <w:bottom w:w="100" w:type="dxa"/>
              <w:left w:w="120" w:type="dxa"/>
              <w:right w:w="120" w:type="dxa"/>
            </w:tcMar>
          </w:tcPr>
          <w:p>
            <w:pPr>
              <w:bidi/>
              <w:jc w:val="right"/>
            </w:pPr>
            <w:r>
              <w:rPr>
                <w:rFonts w:ascii="B Nazanin" w:hAnsi="B Nazanin"/>
                <w:color w:val="1E1E1E"/>
                <w:sz w:val="20"/>
              </w:rPr>
              <w:t>انطباق دقیق مدیریت نقدینگی با بودجه مصوب سالانه.</w:t>
            </w:r>
          </w:p>
        </w:tc>
      </w:tr>
      <w:tr>
        <w:tc>
          <w:tcPr>
            <w:tcW w:type="dxa" w:w="3312"/>
            <w:shd w:fill="FFFFFF"/>
            <w:tcMar>
              <w:top w:w="100" w:type="dxa"/>
              <w:bottom w:w="100" w:type="dxa"/>
              <w:left w:w="120" w:type="dxa"/>
              <w:right w:w="120" w:type="dxa"/>
            </w:tcMar>
          </w:tcPr>
          <w:p>
            <w:pPr>
              <w:bidi/>
              <w:jc w:val="right"/>
            </w:pPr>
            <w:r>
              <w:rPr>
                <w:rFonts w:ascii="B Nazanin" w:hAnsi="B Nazanin"/>
                <w:color w:val="1E1E1E"/>
                <w:sz w:val="20"/>
              </w:rPr>
              <w:t>۵. اموال و دارایی‌های ثابت (Fixed Assets)</w:t>
            </w:r>
          </w:p>
        </w:tc>
        <w:tc>
          <w:tcPr>
            <w:tcW w:type="dxa" w:w="3312"/>
            <w:shd w:fill="FFFFFF"/>
            <w:tcMar>
              <w:top w:w="100" w:type="dxa"/>
              <w:bottom w:w="100" w:type="dxa"/>
              <w:left w:w="120" w:type="dxa"/>
              <w:right w:w="120" w:type="dxa"/>
            </w:tcMar>
          </w:tcPr>
          <w:p>
            <w:pPr>
              <w:bidi/>
              <w:jc w:val="right"/>
            </w:pPr>
            <w:r>
              <w:rPr>
                <w:rFonts w:ascii="B Nazanin" w:hAnsi="B Nazanin"/>
                <w:color w:val="1E1E1E"/>
                <w:sz w:val="20"/>
              </w:rPr>
              <w:t>کنترل بودجه سرمایه‌ای (CAPEX) جهت خرید تجهیزات و اموال جدید سازمان.</w:t>
            </w:r>
          </w:p>
        </w:tc>
        <w:tc>
          <w:tcPr>
            <w:tcW w:type="dxa" w:w="3312"/>
            <w:shd w:fill="FFFFFF"/>
            <w:tcMar>
              <w:top w:w="100" w:type="dxa"/>
              <w:bottom w:w="100" w:type="dxa"/>
              <w:left w:w="120" w:type="dxa"/>
              <w:right w:w="120" w:type="dxa"/>
            </w:tcMar>
          </w:tcPr>
          <w:p>
            <w:pPr>
              <w:bidi/>
              <w:jc w:val="right"/>
            </w:pPr>
            <w:r>
              <w:rPr>
                <w:rFonts w:ascii="B Nazanin" w:hAnsi="B Nazanin"/>
                <w:color w:val="1E1E1E"/>
                <w:sz w:val="20"/>
              </w:rPr>
              <w:t>جلوگیری از خرید دارایی‌های ثابت خارج از بودجه سرمایه‌ای مصوب.</w:t>
            </w:r>
          </w:p>
        </w:tc>
      </w:tr>
    </w:tbl>
    <w:p>
      <w:pPr>
        <w:bidi/>
        <w:spacing w:before="60" w:after="100" w:line="276" w:lineRule="auto"/>
        <w:jc w:val="right"/>
      </w:pPr>
      <w:r>
        <w:rPr>
          <w:rFonts w:ascii="B Nazanin" w:hAnsi="B Nazanin"/>
          <w:color w:val="282828"/>
          <w:sz w:val="22"/>
        </w:rPr>
      </w:r>
    </w:p>
    <w:p>
      <w:pPr>
        <w:bidi/>
        <w:spacing w:before="280" w:after="160"/>
        <w:jc w:val="right"/>
      </w:pPr>
      <w:r>
        <w:rPr>
          <w:rFonts w:ascii="B Nazanin" w:hAnsi="B Nazanin"/>
          <w:b/>
          <w:color w:val="1F4E79"/>
          <w:sz w:val="30"/>
        </w:rPr>
        <w:t>۴. گزارشات جامع و مدیریتی سیستم بودجه و کنترل هزینه‌ها</w:t>
      </w:r>
    </w:p>
    <w:p>
      <w:pPr>
        <w:bidi/>
        <w:spacing w:before="60" w:after="100" w:line="276" w:lineRule="auto"/>
        <w:jc w:val="right"/>
      </w:pPr>
      <w:r>
        <w:rPr>
          <w:rFonts w:ascii="B Nazanin" w:hAnsi="B Nazanin"/>
          <w:color w:val="282828"/>
          <w:sz w:val="22"/>
        </w:rPr>
        <w:t>سیستم بودجه گزارش‌های هوشمندی را برای مدیران ارشد استخراج می‌کند:</w:t>
      </w:r>
    </w:p>
    <w:p>
      <w:pPr>
        <w:bidi/>
        <w:spacing w:before="60" w:after="100" w:line="276" w:lineRule="auto"/>
        <w:jc w:val="right"/>
      </w:pPr>
      <w:r>
        <w:rPr>
          <w:rFonts w:ascii="B Nazanin" w:hAnsi="B Nazanin"/>
          <w:color w:val="1F4E79"/>
          <w:sz w:val="22"/>
        </w:rPr>
        <w:t xml:space="preserve">▪ </w:t>
      </w:r>
      <w:r>
        <w:rPr>
          <w:rFonts w:ascii="B Nazanin" w:hAnsi="B Nazanin"/>
          <w:b/>
          <w:color w:val="1E1E1E"/>
          <w:sz w:val="22"/>
        </w:rPr>
        <w:t xml:space="preserve">• داشبورد درصد جذب بودجه (Budget Utilization): </w:t>
      </w:r>
      <w:r>
        <w:rPr>
          <w:rFonts w:ascii="B Nazanin" w:hAnsi="B Nazanin"/>
          <w:color w:val="282828"/>
          <w:sz w:val="22"/>
        </w:rPr>
        <w:t>نمایش درصد جذب بودجه مصوب در هر مرکز هزینه (مثلاً تولید، بازاریابی، اداری).</w:t>
      </w:r>
    </w:p>
    <w:p>
      <w:pPr>
        <w:bidi/>
        <w:spacing w:before="60" w:after="100" w:line="276" w:lineRule="auto"/>
        <w:jc w:val="right"/>
      </w:pPr>
      <w:r>
        <w:rPr>
          <w:rFonts w:ascii="B Nazanin" w:hAnsi="B Nazanin"/>
          <w:color w:val="1F4E79"/>
          <w:sz w:val="22"/>
        </w:rPr>
        <w:t xml:space="preserve">▪ </w:t>
      </w:r>
      <w:r>
        <w:rPr>
          <w:rFonts w:ascii="B Nazanin" w:hAnsi="B Nazanin"/>
          <w:b/>
          <w:color w:val="1E1E1E"/>
          <w:sz w:val="22"/>
        </w:rPr>
        <w:t xml:space="preserve">• گزارش ماتریسی انحراف بودجه (Variance Report): </w:t>
      </w:r>
      <w:r>
        <w:rPr>
          <w:rFonts w:ascii="B Nazanin" w:hAnsi="B Nazanin"/>
          <w:color w:val="282828"/>
          <w:sz w:val="22"/>
        </w:rPr>
        <w:t>جدول ماتریسی مقایسه‌ای بودجه vs واقعی همراه با درصد انحراف.</w:t>
      </w:r>
    </w:p>
    <w:p>
      <w:pPr>
        <w:bidi/>
        <w:spacing w:before="60" w:after="100" w:line="276" w:lineRule="auto"/>
        <w:jc w:val="right"/>
      </w:pPr>
      <w:r>
        <w:rPr>
          <w:rFonts w:ascii="B Nazanin" w:hAnsi="B Nazanin"/>
          <w:color w:val="1F4E79"/>
          <w:sz w:val="22"/>
        </w:rPr>
        <w:t xml:space="preserve">▪ </w:t>
      </w:r>
      <w:r>
        <w:rPr>
          <w:rFonts w:ascii="B Nazanin" w:hAnsi="B Nazanin"/>
          <w:b/>
          <w:color w:val="1E1E1E"/>
          <w:sz w:val="22"/>
        </w:rPr>
        <w:t xml:space="preserve">• گزارش ردیف‌های حرجی بودجه (Critical Budget Lines): </w:t>
      </w:r>
      <w:r>
        <w:rPr>
          <w:rFonts w:ascii="B Nazanin" w:hAnsi="B Nazanin"/>
          <w:color w:val="282828"/>
          <w:sz w:val="22"/>
        </w:rPr>
        <w:t>نمایش ردیف‌های بودجه‌ای که به سقف اعتبار خود رسیده‌اند.</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