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240"/>
        <w:jc w:val="center"/>
      </w:pPr>
      <w:r>
        <w:rPr>
          <w:rFonts w:ascii="B Nazanin" w:hAnsi="B Nazanin"/>
          <w:b/>
          <w:color w:val="184C78"/>
          <w:sz w:val="40"/>
        </w:rPr>
        <w:t>معماری و سناریوی جامع سیستم هوش تجاری و داشبورد مدیریتی پیشرفته (BI &amp; Advanced Executive Dashboard)</w:t>
      </w:r>
    </w:p>
    <w:p>
      <w:pPr>
        <w:bidi/>
        <w:spacing w:before="0" w:after="360"/>
        <w:jc w:val="center"/>
      </w:pPr>
      <w:r>
        <w:rPr>
          <w:rFonts w:ascii="B Nazanin" w:hAnsi="B Nazanin"/>
          <w:i/>
          <w:color w:val="646E78"/>
          <w:sz w:val="26"/>
        </w:rPr>
        <w:t>توضیحات تفصیلی انبار داده (ETL)، تحلیل چندبعدی (OLAP)، پیش‌بینی هوشمند با AI و یکپارچگی با نگار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۱. مقدمه و اهمیت سیستم هوش تجاری (BI) در مدیریت ارشد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در هلدینگ‌ها، کارخانجات و شرکت‌های بزرگ، اتخاذ تصمیمات استراتژیک بر اساس گزارشات سنتی کاغذبازی یا فایل‌های اکسل پراکنده، سرعت تصمیم‌گیری مدیران ارشد را کاهش داده و ریسک خطا را افزایش می‌دهد.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هوش تجاری (BI) نگار با تجمیع لحظه‌ای داده‌های تمام ماژول‌ها در انبار داده تحلیلی (Data Warehouse)، تبدیل آمار به نمودارهای گرافیکی تعاملی و پیش‌بینی روندهای آتی، ابزار قدرتمند تصمیم‌گیری مدیرعامل و هیات مدیره است.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۲. ماژول‌ها و فرآیندهای تفصیلی سیستم هوش تجاری (BI)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الف) انبار داده‌ها و فرآیند یکپارچه‌سازی (ETL - Data Warehouse)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استخراج، پالایش و یکپارچه‌سازی داده‌ها: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فرآیند استخراج آنلاین داده (ETL): </w:t>
      </w:r>
      <w:r>
        <w:rPr>
          <w:rFonts w:ascii="B Nazanin" w:hAnsi="B Nazanin"/>
          <w:color w:val="282828"/>
          <w:sz w:val="22"/>
        </w:rPr>
        <w:t>استخراج خودکار داده‌ها از تمامی ۱۸ زیرسیستم نگار (مالی، انبار، تولید، خزانه‌داری، نت، لوجستیک، SRM و CRM).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پالایش و ساخت مکعب‌های داده: </w:t>
      </w:r>
      <w:r>
        <w:rPr>
          <w:rFonts w:ascii="B Nazanin" w:hAnsi="B Nazanin"/>
          <w:color w:val="282828"/>
          <w:sz w:val="22"/>
        </w:rPr>
        <w:t>حذف مغایرت‌ها، یکسان‌سازی کدهای کالا و مشتریان و ذخیره‌سازی در مکعب‌های تحلیلی (OLAP Cubes).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ب) داشبوردهای مدیریتی و چارت‌های تعاملی (Interactive KPI Dashboards)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نمایش تعاملی و دیداری شاخص‌های کلیدی عملکرد: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داشبورد مالی و فروش: </w:t>
      </w:r>
      <w:r>
        <w:rPr>
          <w:rFonts w:ascii="B Nazanin" w:hAnsi="B Nazanin"/>
          <w:color w:val="282828"/>
          <w:sz w:val="22"/>
        </w:rPr>
        <w:t>نمایش لحظه‌ای سود و زیان (P&amp;L)، حاشیه سود ناخالص، فروش روزانه/ماهانه و جریان نقدینگی کارخانه.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داشبورد تولید و عملیات: </w:t>
      </w:r>
      <w:r>
        <w:rPr>
          <w:rFonts w:ascii="B Nazanin" w:hAnsi="B Nazanin"/>
          <w:color w:val="282828"/>
          <w:sz w:val="22"/>
        </w:rPr>
        <w:t>نمایش نرخ بهره‌وری ماشین‌آلات (OEE)، میزان ضایعات، راندمان خطوط تولید و کارکرد ناوگان لوجستیک.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ج) پیش‌بینی هوشمند با الگوریتم‌های هوش مصنوعی (AI Trend &amp; Sales Forecasting)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پیش‌بینی هوشمند روندهای آتی شرکت: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پیش‌بینی فروش و تقاضا: </w:t>
      </w:r>
      <w:r>
        <w:rPr>
          <w:rFonts w:ascii="B Nazanin" w:hAnsi="B Nazanin"/>
          <w:color w:val="282828"/>
          <w:sz w:val="22"/>
        </w:rPr>
        <w:t>پیش‌بینی اتوماتیک میزان تقاضا و فروش ماه‌های آینده بر اساس الگوریتم‌های سری زمانی و فصلی بودن بازار.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پیش‌بینی جریان نقدینگی (Cash Flow): </w:t>
      </w:r>
      <w:r>
        <w:rPr>
          <w:rFonts w:ascii="B Nazanin" w:hAnsi="B Nazanin"/>
          <w:color w:val="282828"/>
          <w:sz w:val="22"/>
        </w:rPr>
        <w:t>پیش‌بینی نوسانات ورودی و خروجی نقدینگی و ارسال هشدار هوشمند قبل از وقوع کسری صندوق یا انحراف بودجه.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د) تحلیل‌های چندبعدی و قابلیت شکافتن داده (Drill-Down Analysis)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دسترسی به عمیق‌ترین لایه‌های داده تنها با یک کلیک: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قابلیت Drill-Down تفصیلی: </w:t>
      </w:r>
      <w:r>
        <w:rPr>
          <w:rFonts w:ascii="B Nazanin" w:hAnsi="B Nazanin"/>
          <w:color w:val="282828"/>
          <w:sz w:val="22"/>
        </w:rPr>
        <w:t>امکان حرکت از سطح کلان هلدینگ به سطح شرکت، مرکز هزینه، فاکتور فروش، ردیف سند حسابداری و کد مشتری.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۳. چگونگی یکپارچگی سیستم BI با سایر بخش‌های نرم‌افزار نگار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BI با تمامی ماژول‌های سیستم جامع نگار تعامل زنده دارد: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بخش مربوطه در نگار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نحوه ارتباط و تبادل داده با سیستم هوش تجاری (BI)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دستاورد و ارزش افزوده عملیاتی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۱. حسابداری مالی و بودجه (Financial &amp; Budgeting)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تجمیع زنده اسناد حسابداری Sanad1 و Sanad2 و مقایسه انحراف بودجه با عملکرد واقعی.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پایش لحظه‌ای سودآوری و هشدارهای انحراف بودجه.</w:t>
            </w:r>
          </w:p>
        </w:tc>
      </w:tr>
      <w:tr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۲. انبار و فروش مویرگی (Trade &amp; Warehouse)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تحلیل گردش کالا، نقطه سفارش انبار، ABC کالاها و ردیابی فروش مویرگی موزعان.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جلوگیری از رسوب کالا در انبار و شناسایی پرفروش‌ترین کالاها.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۳. تولید، نت و کیفیت (Production, PM &amp; QC)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تجمیع داده‌های OEE ماشین‌آلات، توقفات خط، هزینه تعمیرات PM و نرخ ضایعات FPY.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بهینه‌سازی کارایی کارخانه و کاهش هزینه‌های عدم کیفیت.</w:t>
            </w:r>
          </w:p>
        </w:tc>
      </w:tr>
      <w:tr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۴. تامین‌کنندگان و لوجستیک (SRM &amp; Fleet)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تحلیل نمرات SRM تامین‌کنندگان، کرایه حمل و راندمان ناوگان لوجستیک.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کاهش هزینه‌های تامین و حمل و انتخاب بهترین تامین‌کننده.</w:t>
            </w:r>
          </w:p>
        </w:tc>
      </w:tr>
    </w:tbl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۴. گزارشات جامع و داشبوردهای مدیریتی هوش تجاری (Executive KPIs)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داشبوردهای تخصصی زیر در اختیار مدیران ارشد قرار می‌گیرد: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برج کنترل مدیرعامل (CEO Control Tower): </w:t>
      </w:r>
      <w:r>
        <w:rPr>
          <w:rFonts w:ascii="B Nazanin" w:hAnsi="B Nazanin"/>
          <w:color w:val="282828"/>
          <w:sz w:val="22"/>
        </w:rPr>
        <w:t>نمایش خلاصه عملکرد کل شرکت شامل فروش، سود خالص، موجودی نقد و راندمان تولید.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داشبورد تحلیل سودآوری محصولات و مشتریان: </w:t>
      </w:r>
      <w:r>
        <w:rPr>
          <w:rFonts w:ascii="B Nazanin" w:hAnsi="B Nazanin"/>
          <w:color w:val="282828"/>
          <w:sz w:val="22"/>
        </w:rPr>
        <w:t>نمایش سودآوری به تفکیک گروه محصولات، مناطق جغرافیایی و خطوط مشتریان.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داشبورد ریسک نقدینگی و سرمایه در گردش: </w:t>
      </w:r>
      <w:r>
        <w:rPr>
          <w:rFonts w:ascii="B Nazanin" w:hAnsi="B Nazanin"/>
          <w:color w:val="282828"/>
          <w:sz w:val="22"/>
        </w:rPr>
        <w:t>نمایش سرمایه در گردش، دوره وصول مطالبات (DSO) و ریسک بدهکاران.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