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1A8A" w:rsidRPr="009074E9" w:rsidRDefault="009074E9">
      <w:pPr>
        <w:rPr>
          <w:rFonts w:ascii="Times New Roman" w:hAnsi="Times New Roman" w:cs="Times New Roman"/>
        </w:rPr>
      </w:pPr>
      <w:r w:rsidRPr="009074E9">
        <w:rPr>
          <w:rFonts w:ascii="Times New Roman" w:hAnsi="Times New Roman" w:cs="Times New Roman"/>
        </w:rPr>
        <w:t>Leveling the Playing Field: Bureaucratic Revolving Doors for the Marginalized</w:t>
      </w:r>
    </w:p>
    <w:p w:rsidR="009074E9" w:rsidRPr="009074E9" w:rsidRDefault="009074E9" w:rsidP="009074E9">
      <w:pPr>
        <w:rPr>
          <w:rFonts w:ascii="Times New Roman" w:hAnsi="Times New Roman" w:cs="Times New Roman"/>
        </w:rPr>
      </w:pPr>
      <w:r w:rsidRPr="009074E9">
        <w:rPr>
          <w:rFonts w:ascii="Times New Roman" w:hAnsi="Times New Roman" w:cs="Times New Roman"/>
        </w:rPr>
        <w:t>Kyuwon Lee</w:t>
      </w:r>
    </w:p>
    <w:p w:rsidR="009074E9" w:rsidRPr="009074E9" w:rsidRDefault="009074E9" w:rsidP="009074E9">
      <w:pPr>
        <w:rPr>
          <w:rFonts w:ascii="Times New Roman" w:hAnsi="Times New Roman" w:cs="Times New Roman"/>
        </w:rPr>
      </w:pPr>
      <w:r w:rsidRPr="009074E9">
        <w:rPr>
          <w:rFonts w:ascii="Times New Roman" w:hAnsi="Times New Roman" w:cs="Times New Roman"/>
        </w:rPr>
        <w:t>Existing scholarship often portrays bureaucratic revolving doors as distorting government resource allocation and privileging large, well-organized interests. This paper challenges that view by focusing on revolving doors of mid-level career bureaucrats who constitute the vast majority of the federal workforce. I argue that these former bureaucrats can help marginalized businesses navigate complex regulations with their expertise, facilitating the participation of previously excluded firms in government processes. As a consequence, they may reduce in- equalities between well-established and less-established firms. To test this claim, I examine U.S. federal contracting and assemble novel data on the career trajectories of more than 33,000 contracting officers across agencies. Using a difference-in-differences design on a firm–year panel from 2004–2024, I find that small firms inexperienced in federal contracting particularly yield meaningful increases in contract awards after hiring former contracting officers. Ad- ditional analyses suggest that these gains are driven by expertise but not by personal connec- tions. These findings bring marginalized businesses to debates over appropriate revolving-door restrictions.</w:t>
      </w:r>
    </w:p>
    <w:sectPr w:rsidR="009074E9" w:rsidRPr="009074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E9"/>
    <w:rsid w:val="002129B5"/>
    <w:rsid w:val="00813203"/>
    <w:rsid w:val="00841A8A"/>
    <w:rsid w:val="009074E9"/>
    <w:rsid w:val="00FE4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CE34D"/>
  <w15:chartTrackingRefBased/>
  <w15:docId w15:val="{B8C36E6A-078B-8D4B-8933-68965BBAF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1138</Characters>
  <Application>Microsoft Office Word</Application>
  <DocSecurity>0</DocSecurity>
  <Lines>16</Lines>
  <Paragraphs>3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2026-02-12T16:32:00Z</dcterms:created>
  <dcterms:modified xsi:type="dcterms:W3CDTF">2026-02-12T16:33:00Z</dcterms:modified>
</cp:coreProperties>
</file>