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Case for Generalization in Adolescence</w:t>
      </w:r>
    </w:p>
    <w:p w:rsidR="00000000" w:rsidDel="00000000" w:rsidP="00000000" w:rsidRDefault="00000000" w:rsidRPr="00000000" w14:paraId="00000002">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Throughout high school, I balanced soccer, robotics, chess, and community service. I was never the best at any single one, and I often questioned if that made my efforts less meaningful. However, research reveals that generalization during childhood builds adaptable, empathetic leaders.</w:t>
      </w:r>
    </w:p>
    <w:p w:rsidR="00000000" w:rsidDel="00000000" w:rsidP="00000000" w:rsidRDefault="00000000" w:rsidRPr="00000000" w14:paraId="00000003">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Generalization provides long-term advantages. As researchers Côté and Vierimaa explain, “Risks of early sports specialization include higher rates of injury, increased psychological stress, and quitting sports at a young age.” This suggests that a varied childhood not only builds physical resilience but also leads to greater overall success. Generalists also develop stronger self-identity. According to a Medium article, “Kids have to try a lot of things before they find something they’re truly good at” (@MyBizKidMBK). My range of activities helped me understand who I was beyond a single role, which broadened my insights and made me more compassionate.</w:t>
      </w:r>
    </w:p>
    <w:p w:rsidR="00000000" w:rsidDel="00000000" w:rsidP="00000000" w:rsidRDefault="00000000" w:rsidRPr="00000000" w14:paraId="00000004">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Being a generalist also fosters empathy. A study in BMC Psychology found that those “raised in open environments were more likely to exhibit flexible thinking, greater empathy, and a broader understanding of social dynamics” (Zhang et al.). This mirrors how I learned to work with diverse groups across my activities. Generalists act as connectors. The Kurzgesagt video explains, “Generalists thrive in environments that demand flexibility, creativity, and collaboration. They often become the bridges between specialists.” I frequently found myself linking different friend groups and teams, a skill that emerged naturally from being involved in many things.</w:t>
      </w:r>
    </w:p>
    <w:p w:rsidR="00000000" w:rsidDel="00000000" w:rsidP="00000000" w:rsidRDefault="00000000" w:rsidRPr="00000000" w14:paraId="00000005">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hindsight, being a generalist didn’t limit me—it empowered me. I grew into someone who can adapt, connect, and lead across contexts. Adolescents should be encouraged to explore broadly; it shapes stronger, more capable individuals.</w:t>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Works Cited:</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w:t>
        <w:tab/>
        <w:t xml:space="preserve">Côté, Jean, and Mikko A. Vierimaa. “The Developmental Model of Sport Participation: 15 Years after Its First Conceptualization.” National Library of Medicine, https://pmc.ncbi.nlm.nih.gov/articles/PMC3658407/.</w:t>
      </w:r>
    </w:p>
    <w:p w:rsidR="00000000" w:rsidDel="00000000" w:rsidP="00000000" w:rsidRDefault="00000000" w:rsidRPr="00000000" w14:paraId="0000000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w:t>
        <w:tab/>
        <w:t xml:space="preserve">@MyBizKidMBK. “Generalize Then Specialise: Let the Children Play.” Medium, https://medium.com/@MyBizKidMBK/generalize-then-specialise-let-the-children-play-and-experiment-with-many-different-things-9eaa65eca441.</w:t>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w:t>
        <w:tab/>
        <w:t xml:space="preserve">Zhang, Lu, et al. “Development in Open vs Closed Environments: A Psychological Study.” BMC Psychology, https://bmcpsychology.biomedcentral.com/articles/10.1186/s40359-023-01317-w.</w:t>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w:t>
        <w:tab/>
        <w:t xml:space="preserve">Kurzgesagt – In a Nutshell. “Why Generalists Are Better Than Specialists.” YouTube, https://www.youtube.com/watch?v=q6vKUdrNQcI.</w:t>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