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The Path Between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say to pick a lane, One goal, one dream, one game. But what if I don’t want to choose? What if picking means I lose?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kid who paints, who runs, who plays, Who builds, explores, and shifts their ways. They’re told to focus, stick to one, But what if switching makes it fun?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rise fast, they shine real bright, A single skill, their guiding light. Mozart’s keys, an athlete’s grind, A narrow path, a single mind.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others roam, their interests wide, Da Vinci’s hands </w:t>
      </w:r>
      <w:r w:rsidDel="00000000" w:rsidR="00000000" w:rsidRPr="00000000">
        <w:rPr>
          <w:rtl w:val="0"/>
        </w:rPr>
        <w:t xml:space="preserve">refused</w:t>
      </w:r>
      <w:r w:rsidDel="00000000" w:rsidR="00000000" w:rsidRPr="00000000">
        <w:rPr>
          <w:rtl w:val="0"/>
        </w:rPr>
        <w:t xml:space="preserve"> to hide. A mind that tests, that jumps between, Finds skills in places yet unseen.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specialist hones, sharp as steel, Perfects their craft, refines their feel. But those who mix, adapt, explore, Can shift when life throws something more.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Studies say let children play, Try it all, find their way. Because a box can lock them in, But open doors help dreams begin.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kid drills a single move, Another learns to switch and groove. And when the game begins to change, Who’s more ready to rearrange?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all must lock a single door, Not all success is one route more. Some who blend, who shift, who see, Find ways that specialists let be.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let them wander, let them roam, Let them shape what they call home. Because life isn’t just one lane, It’s all the roads we learn to name.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