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CC30E" w14:textId="1BA5EF43" w:rsidR="00DC2520" w:rsidRDefault="00DC2520">
      <w:r>
        <w:t xml:space="preserve">Summary metagenomics Workshops </w:t>
      </w:r>
    </w:p>
    <w:p w14:paraId="0DF63FD1" w14:textId="5C03E9B3" w:rsidR="00DC2520" w:rsidRDefault="00DC2520">
      <w:pPr>
        <w:rPr>
          <w:b/>
          <w:bCs/>
        </w:rPr>
      </w:pPr>
      <w:r w:rsidRPr="000E1377">
        <w:rPr>
          <w:b/>
          <w:bCs/>
        </w:rPr>
        <w:t>Monday 25th of October</w:t>
      </w:r>
    </w:p>
    <w:p w14:paraId="1D2960C8" w14:textId="6CB1857F" w:rsidR="00B807F4" w:rsidRPr="000E1377" w:rsidRDefault="00B807F4">
      <w:pPr>
        <w:rPr>
          <w:b/>
          <w:bCs/>
        </w:rPr>
      </w:pPr>
      <w:r>
        <w:rPr>
          <w:b/>
          <w:bCs/>
        </w:rPr>
        <w:t xml:space="preserve">What we did? </w:t>
      </w:r>
    </w:p>
    <w:p w14:paraId="242DBC11" w14:textId="7CD72A10" w:rsidR="00DC2520" w:rsidRDefault="00DC2520" w:rsidP="00DC2520">
      <w:pPr>
        <w:pStyle w:val="ListParagraph"/>
        <w:numPr>
          <w:ilvl w:val="0"/>
          <w:numId w:val="1"/>
        </w:numPr>
      </w:pPr>
      <w:r>
        <w:t xml:space="preserve">Discussed setting up Rosalind; which is </w:t>
      </w:r>
      <w:r w:rsidRPr="00DC2520">
        <w:t>High Performance Computing (HPC)</w:t>
      </w:r>
      <w:r>
        <w:t>. HPC gives us the ability to combine</w:t>
      </w:r>
      <w:r w:rsidRPr="00DC2520">
        <w:t xml:space="preserve"> computing power in a way that delivers much higher performance than one could get out of a typical desktop computer or workstation in order to solve large problems in science</w:t>
      </w:r>
      <w:r>
        <w:t xml:space="preserve"> and in this case metagenomics analysis. </w:t>
      </w:r>
    </w:p>
    <w:p w14:paraId="65759FD8" w14:textId="2EDBF435" w:rsidR="00DC2520" w:rsidRDefault="00DC2520" w:rsidP="00DC2520">
      <w:pPr>
        <w:pStyle w:val="ListParagraph"/>
        <w:numPr>
          <w:ilvl w:val="0"/>
          <w:numId w:val="1"/>
        </w:numPr>
      </w:pPr>
      <w:r>
        <w:t xml:space="preserve">Discussed the project report </w:t>
      </w:r>
    </w:p>
    <w:p w14:paraId="507777CC" w14:textId="77777777" w:rsidR="00CC0B04" w:rsidRDefault="00DC2520" w:rsidP="00DC2520">
      <w:pPr>
        <w:pStyle w:val="ListParagraph"/>
        <w:numPr>
          <w:ilvl w:val="0"/>
          <w:numId w:val="1"/>
        </w:numPr>
      </w:pPr>
      <w:r>
        <w:t xml:space="preserve">Installed </w:t>
      </w:r>
      <w:proofErr w:type="spellStart"/>
      <w:r>
        <w:t>Metahplan</w:t>
      </w:r>
      <w:proofErr w:type="spellEnd"/>
      <w:r>
        <w:t xml:space="preserve"> in Rosalind</w:t>
      </w:r>
    </w:p>
    <w:p w14:paraId="47345804" w14:textId="020244C5" w:rsidR="00DC2520" w:rsidRDefault="00CC0B04" w:rsidP="00DC2520">
      <w:pPr>
        <w:pStyle w:val="ListParagraph"/>
        <w:numPr>
          <w:ilvl w:val="0"/>
          <w:numId w:val="1"/>
        </w:numPr>
      </w:pPr>
      <w:r>
        <w:t xml:space="preserve">INPUT: shotgun metagenomics files </w:t>
      </w:r>
      <w:proofErr w:type="gramStart"/>
      <w:r>
        <w:t>(.</w:t>
      </w:r>
      <w:proofErr w:type="spellStart"/>
      <w:r>
        <w:t>fasta</w:t>
      </w:r>
      <w:proofErr w:type="spellEnd"/>
      <w:proofErr w:type="gramEnd"/>
      <w:r>
        <w:t xml:space="preserve"> as extension) and as an OUTPUT we got the table of microbial species and their relative abundance which we downloaded to our local computer. </w:t>
      </w:r>
    </w:p>
    <w:p w14:paraId="3C4EF438" w14:textId="77777777" w:rsidR="00CA2A1D" w:rsidRDefault="00CA2A1D" w:rsidP="00CA2A1D">
      <w:pPr>
        <w:pStyle w:val="ListParagraph"/>
        <w:numPr>
          <w:ilvl w:val="0"/>
          <w:numId w:val="1"/>
        </w:numPr>
      </w:pPr>
      <w:r>
        <w:t xml:space="preserve">Installation of SRA toolkit </w:t>
      </w:r>
    </w:p>
    <w:p w14:paraId="2C14FD87" w14:textId="77777777" w:rsidR="00CA2A1D" w:rsidRDefault="00CA2A1D" w:rsidP="00CA2A1D">
      <w:pPr>
        <w:pStyle w:val="ListParagraph"/>
      </w:pPr>
    </w:p>
    <w:p w14:paraId="1DEEB1AC" w14:textId="6B356096" w:rsidR="00152738" w:rsidRPr="00CA2A1D" w:rsidRDefault="00152738" w:rsidP="00152738">
      <w:pPr>
        <w:rPr>
          <w:b/>
          <w:bCs/>
        </w:rPr>
      </w:pPr>
      <w:r w:rsidRPr="00CA2A1D">
        <w:rPr>
          <w:b/>
          <w:bCs/>
          <w:highlight w:val="yellow"/>
        </w:rPr>
        <w:t>Key point:</w:t>
      </w:r>
      <w:r w:rsidRPr="00CA2A1D">
        <w:rPr>
          <w:b/>
          <w:bCs/>
        </w:rPr>
        <w:t xml:space="preserve"> </w:t>
      </w:r>
    </w:p>
    <w:p w14:paraId="0C49D6BA" w14:textId="7912E899" w:rsidR="00DC2520" w:rsidRPr="00DC2520" w:rsidRDefault="00DC2520" w:rsidP="00DC2520">
      <w:pPr>
        <w:rPr>
          <w:b/>
          <w:bCs/>
        </w:rPr>
      </w:pPr>
      <w:r w:rsidRPr="00152738">
        <w:rPr>
          <w:b/>
          <w:bCs/>
          <w:highlight w:val="yellow"/>
        </w:rPr>
        <w:t xml:space="preserve">What is </w:t>
      </w:r>
      <w:proofErr w:type="spellStart"/>
      <w:r w:rsidRPr="00152738">
        <w:rPr>
          <w:b/>
          <w:bCs/>
          <w:highlight w:val="yellow"/>
        </w:rPr>
        <w:t>Metaphlan</w:t>
      </w:r>
      <w:proofErr w:type="spellEnd"/>
      <w:r w:rsidRPr="00152738">
        <w:rPr>
          <w:b/>
          <w:bCs/>
          <w:highlight w:val="yellow"/>
        </w:rPr>
        <w:t xml:space="preserve"> and why we use it for microbiome analysis?</w:t>
      </w:r>
    </w:p>
    <w:p w14:paraId="657226A6" w14:textId="464CC3E7" w:rsidR="00DC2520" w:rsidRDefault="00DC2520" w:rsidP="00DC2520">
      <w:r w:rsidRPr="00DC2520">
        <w:t>Next-generation sequencing technologies have allowed for sequencing at a low cost and fast speed, and is used more and more to study microbial communities. Since a variety of microbes live in the microbial community at differential relative abundances, the first question researchers usually ask is who is present and at what relative abundance.</w:t>
      </w:r>
      <w:r>
        <w:t xml:space="preserve"> </w:t>
      </w:r>
      <w:r w:rsidRPr="00DC2520">
        <w:t>A</w:t>
      </w:r>
      <w:r>
        <w:t xml:space="preserve"> frequent</w:t>
      </w:r>
      <w:r w:rsidRPr="00DC2520">
        <w:t xml:space="preserve"> used tool is </w:t>
      </w:r>
      <w:proofErr w:type="spellStart"/>
      <w:r w:rsidRPr="00DC2520">
        <w:t>MetaPhlan</w:t>
      </w:r>
      <w:proofErr w:type="spellEnd"/>
      <w:r w:rsidRPr="00DC2520">
        <w:t xml:space="preserve"> (http://huttenhower.sph.harvard.edu/metaphlan2), which uses clade-specific marker genes to study the microbiome taxonomic composition</w:t>
      </w:r>
      <w:r>
        <w:t xml:space="preserve">. </w:t>
      </w:r>
    </w:p>
    <w:p w14:paraId="0A044D0A" w14:textId="1A2915A4" w:rsidR="00DC2520" w:rsidRDefault="00DC2520" w:rsidP="00DC2520">
      <w:r w:rsidRPr="00DC2520">
        <w:rPr>
          <w:noProof/>
        </w:rPr>
        <w:drawing>
          <wp:inline distT="0" distB="0" distL="0" distR="0" wp14:anchorId="352FF817" wp14:editId="509CC2A8">
            <wp:extent cx="3446901" cy="2171548"/>
            <wp:effectExtent l="0" t="0" r="1270" b="635"/>
            <wp:docPr id="11" name="Resim 3">
              <a:extLst xmlns:a="http://schemas.openxmlformats.org/drawingml/2006/main">
                <a:ext uri="{FF2B5EF4-FFF2-40B4-BE49-F238E27FC236}">
                  <a16:creationId xmlns:a16="http://schemas.microsoft.com/office/drawing/2014/main" id="{D7E4488F-7DEC-48AB-A6CD-77541E0261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3">
                      <a:extLst>
                        <a:ext uri="{FF2B5EF4-FFF2-40B4-BE49-F238E27FC236}">
                          <a16:creationId xmlns:a16="http://schemas.microsoft.com/office/drawing/2014/main" id="{D7E4488F-7DEC-48AB-A6CD-77541E0261FC}"/>
                        </a:ext>
                      </a:extLst>
                    </pic:cNvPr>
                    <pic:cNvPicPr>
                      <a:picLocks noChangeAspect="1"/>
                    </pic:cNvPicPr>
                  </pic:nvPicPr>
                  <pic:blipFill>
                    <a:blip r:embed="rId5"/>
                    <a:stretch>
                      <a:fillRect/>
                    </a:stretch>
                  </pic:blipFill>
                  <pic:spPr>
                    <a:xfrm>
                      <a:off x="0" y="0"/>
                      <a:ext cx="3461484" cy="2180735"/>
                    </a:xfrm>
                    <a:prstGeom prst="rect">
                      <a:avLst/>
                    </a:prstGeom>
                    <a:noFill/>
                  </pic:spPr>
                </pic:pic>
              </a:graphicData>
            </a:graphic>
          </wp:inline>
        </w:drawing>
      </w:r>
    </w:p>
    <w:p w14:paraId="5459BC9E" w14:textId="77777777" w:rsidR="00DC2520" w:rsidRDefault="00DC2520" w:rsidP="00DC2520"/>
    <w:p w14:paraId="31005ED4" w14:textId="5181F65C" w:rsidR="00CC0B04" w:rsidRPr="00CC0B04" w:rsidRDefault="00CC0B04" w:rsidP="00CC0B04">
      <w:pPr>
        <w:ind w:left="360"/>
        <w:rPr>
          <w:b/>
          <w:bCs/>
        </w:rPr>
      </w:pPr>
      <w:r w:rsidRPr="00152738">
        <w:rPr>
          <w:b/>
          <w:bCs/>
          <w:highlight w:val="yellow"/>
        </w:rPr>
        <w:t>What is SRA?</w:t>
      </w:r>
      <w:r w:rsidRPr="00CC0B04">
        <w:rPr>
          <w:b/>
          <w:bCs/>
        </w:rPr>
        <w:t xml:space="preserve"> </w:t>
      </w:r>
    </w:p>
    <w:p w14:paraId="5BC9360E" w14:textId="03CCE589" w:rsidR="00CC0B04" w:rsidRDefault="00CC0B04" w:rsidP="00CC0B04">
      <w:r w:rsidRPr="00CC0B04">
        <w:t xml:space="preserve">The Sequence Read Archive (SRA) is a publicly available repository of sequence data and just one of the many databases hosted by the NIH’s National </w:t>
      </w:r>
      <w:proofErr w:type="spellStart"/>
      <w:r w:rsidRPr="00CC0B04">
        <w:t>Center</w:t>
      </w:r>
      <w:proofErr w:type="spellEnd"/>
      <w:r w:rsidRPr="00CC0B04">
        <w:t xml:space="preserve"> for Biotechnology Information (NCBI). The </w:t>
      </w:r>
      <w:r>
        <w:t xml:space="preserve">SRA </w:t>
      </w:r>
      <w:r w:rsidRPr="00CC0B04">
        <w:t xml:space="preserve">archive consists of raw sequences from various NGS platforms and, more recently, alignment data. Submitting sequences to the database allows researchers to contribute to the reproducibility efforts of the broader community. SRA reads are typically pulled for increasing sample sizes and validating experimental results, but </w:t>
      </w:r>
      <w:r>
        <w:t xml:space="preserve">as a scientist you can use </w:t>
      </w:r>
      <w:r w:rsidRPr="00CC0B04">
        <w:t>the database to explore new research questions.</w:t>
      </w:r>
    </w:p>
    <w:p w14:paraId="668E6546" w14:textId="0310FC67" w:rsidR="00CC0B04" w:rsidRDefault="00CC0B04" w:rsidP="00CC0B04">
      <w:pPr>
        <w:rPr>
          <w:b/>
          <w:bCs/>
        </w:rPr>
      </w:pPr>
      <w:r w:rsidRPr="000E1377">
        <w:rPr>
          <w:b/>
          <w:bCs/>
        </w:rPr>
        <w:lastRenderedPageBreak/>
        <w:t xml:space="preserve">Tuesday 26th of October: </w:t>
      </w:r>
    </w:p>
    <w:p w14:paraId="3DAFA0F5" w14:textId="102DA705" w:rsidR="000E1377" w:rsidRPr="00152738" w:rsidRDefault="000E1377" w:rsidP="00CC0B04">
      <w:pPr>
        <w:rPr>
          <w:b/>
          <w:bCs/>
          <w:highlight w:val="yellow"/>
        </w:rPr>
      </w:pPr>
      <w:r w:rsidRPr="00152738">
        <w:rPr>
          <w:b/>
          <w:bCs/>
          <w:highlight w:val="yellow"/>
        </w:rPr>
        <w:t xml:space="preserve">Key points: </w:t>
      </w:r>
    </w:p>
    <w:p w14:paraId="426D13CD" w14:textId="031C2217" w:rsidR="000E1377" w:rsidRPr="00152738" w:rsidRDefault="000E1377" w:rsidP="000E1377">
      <w:pPr>
        <w:pStyle w:val="ListParagraph"/>
        <w:numPr>
          <w:ilvl w:val="0"/>
          <w:numId w:val="5"/>
        </w:numPr>
        <w:rPr>
          <w:b/>
          <w:bCs/>
          <w:highlight w:val="yellow"/>
        </w:rPr>
      </w:pPr>
      <w:r w:rsidRPr="00152738">
        <w:rPr>
          <w:b/>
          <w:bCs/>
          <w:highlight w:val="yellow"/>
        </w:rPr>
        <w:t>Understand wha</w:t>
      </w:r>
      <w:r w:rsidR="00152738" w:rsidRPr="00152738">
        <w:rPr>
          <w:b/>
          <w:bCs/>
          <w:highlight w:val="yellow"/>
        </w:rPr>
        <w:t xml:space="preserve">t </w:t>
      </w:r>
      <w:proofErr w:type="spellStart"/>
      <w:r w:rsidR="00152738" w:rsidRPr="00152738">
        <w:rPr>
          <w:b/>
          <w:bCs/>
          <w:highlight w:val="yellow"/>
        </w:rPr>
        <w:t>phyloseq</w:t>
      </w:r>
      <w:proofErr w:type="spellEnd"/>
      <w:r w:rsidR="00152738" w:rsidRPr="00152738">
        <w:rPr>
          <w:b/>
          <w:bCs/>
          <w:highlight w:val="yellow"/>
        </w:rPr>
        <w:t xml:space="preserve"> does </w:t>
      </w:r>
    </w:p>
    <w:p w14:paraId="69548B85" w14:textId="3711C0D8" w:rsidR="00152738" w:rsidRPr="00152738" w:rsidRDefault="00152738" w:rsidP="000E1377">
      <w:pPr>
        <w:pStyle w:val="ListParagraph"/>
        <w:numPr>
          <w:ilvl w:val="0"/>
          <w:numId w:val="5"/>
        </w:numPr>
        <w:rPr>
          <w:b/>
          <w:bCs/>
          <w:highlight w:val="yellow"/>
        </w:rPr>
      </w:pPr>
      <w:r w:rsidRPr="00152738">
        <w:rPr>
          <w:b/>
          <w:bCs/>
          <w:highlight w:val="yellow"/>
        </w:rPr>
        <w:t>Understand what the script in R does</w:t>
      </w:r>
    </w:p>
    <w:p w14:paraId="3F1FED85" w14:textId="77777777" w:rsidR="00152738" w:rsidRPr="000E1377" w:rsidRDefault="00152738" w:rsidP="00152738">
      <w:pPr>
        <w:pStyle w:val="ListParagraph"/>
        <w:rPr>
          <w:b/>
          <w:bCs/>
        </w:rPr>
      </w:pPr>
    </w:p>
    <w:p w14:paraId="046102AC" w14:textId="54991AA0" w:rsidR="000357A7" w:rsidRDefault="000357A7" w:rsidP="000357A7">
      <w:r w:rsidRPr="00152738">
        <w:rPr>
          <w:highlight w:val="yellow"/>
        </w:rPr>
        <w:t xml:space="preserve">Why </w:t>
      </w:r>
      <w:proofErr w:type="spellStart"/>
      <w:r w:rsidRPr="00152738">
        <w:rPr>
          <w:highlight w:val="yellow"/>
        </w:rPr>
        <w:t>phyloseq</w:t>
      </w:r>
      <w:proofErr w:type="spellEnd"/>
      <w:r w:rsidRPr="00152738">
        <w:rPr>
          <w:highlight w:val="yellow"/>
        </w:rPr>
        <w:t>?</w:t>
      </w:r>
    </w:p>
    <w:p w14:paraId="051EA3A6" w14:textId="7ADEA7F5" w:rsidR="000357A7" w:rsidRDefault="000357A7" w:rsidP="000357A7">
      <w:r>
        <w:t>To e</w:t>
      </w:r>
      <w:r w:rsidRPr="000357A7">
        <w:t>xplore microbiome profiles using R</w:t>
      </w:r>
      <w:r>
        <w:t xml:space="preserve">. The </w:t>
      </w:r>
      <w:proofErr w:type="spellStart"/>
      <w:r>
        <w:t>phyloseq</w:t>
      </w:r>
      <w:proofErr w:type="spellEnd"/>
      <w:r>
        <w:t xml:space="preserve"> package is a tool to import, store, </w:t>
      </w:r>
      <w:proofErr w:type="spellStart"/>
      <w:r>
        <w:t>analyze</w:t>
      </w:r>
      <w:proofErr w:type="spellEnd"/>
      <w:r>
        <w:t xml:space="preserve">, and graphically display complex phylogenetic sequencing data that has already been clustered into Operational Taxonomic Units (OTUs), especially when there is associated sample data, phylogenetic tree, and/or taxonomic assignment of the OTUs. </w:t>
      </w:r>
    </w:p>
    <w:p w14:paraId="4ADE5338" w14:textId="129EC122" w:rsidR="00152738" w:rsidRPr="00CA2A1D" w:rsidRDefault="00152738" w:rsidP="000357A7">
      <w:pPr>
        <w:rPr>
          <w:b/>
          <w:bCs/>
        </w:rPr>
      </w:pPr>
      <w:r w:rsidRPr="00CA2A1D">
        <w:rPr>
          <w:b/>
          <w:bCs/>
        </w:rPr>
        <w:t xml:space="preserve">What we did? </w:t>
      </w:r>
    </w:p>
    <w:p w14:paraId="637B379D" w14:textId="77777777" w:rsidR="00152738" w:rsidRDefault="00152738" w:rsidP="00152738">
      <w:pPr>
        <w:pStyle w:val="ListParagraph"/>
        <w:numPr>
          <w:ilvl w:val="0"/>
          <w:numId w:val="1"/>
        </w:numPr>
      </w:pPr>
      <w:r>
        <w:t>Installation of different libraries in R which we will need to see which species are present in our samples</w:t>
      </w:r>
    </w:p>
    <w:p w14:paraId="091161B9" w14:textId="77777777" w:rsidR="00152738" w:rsidRDefault="00152738" w:rsidP="00152738">
      <w:pPr>
        <w:pStyle w:val="ListParagraph"/>
        <w:numPr>
          <w:ilvl w:val="0"/>
          <w:numId w:val="1"/>
        </w:numPr>
      </w:pPr>
      <w:r>
        <w:t xml:space="preserve">We used </w:t>
      </w:r>
      <w:proofErr w:type="spellStart"/>
      <w:r>
        <w:t>phyloseq</w:t>
      </w:r>
      <w:proofErr w:type="spellEnd"/>
      <w:r>
        <w:t xml:space="preserve"> and made a </w:t>
      </w:r>
      <w:proofErr w:type="spellStart"/>
      <w:r>
        <w:t>phyloseq</w:t>
      </w:r>
      <w:proofErr w:type="spellEnd"/>
      <w:r>
        <w:t xml:space="preserve"> object </w:t>
      </w:r>
    </w:p>
    <w:p w14:paraId="6A1E8BAC" w14:textId="653CAB0E" w:rsidR="000357A7" w:rsidRDefault="000357A7" w:rsidP="000357A7"/>
    <w:p w14:paraId="16E29B8D" w14:textId="3BFBE076" w:rsidR="000357A7" w:rsidRDefault="000357A7" w:rsidP="000357A7">
      <w:pPr>
        <w:rPr>
          <w:b/>
          <w:bCs/>
        </w:rPr>
      </w:pPr>
      <w:r w:rsidRPr="000E1377">
        <w:rPr>
          <w:b/>
          <w:bCs/>
        </w:rPr>
        <w:t>Wednesday 27</w:t>
      </w:r>
      <w:r w:rsidRPr="000E1377">
        <w:rPr>
          <w:b/>
          <w:bCs/>
          <w:vertAlign w:val="superscript"/>
        </w:rPr>
        <w:t>th</w:t>
      </w:r>
      <w:r w:rsidRPr="000E1377">
        <w:rPr>
          <w:b/>
          <w:bCs/>
        </w:rPr>
        <w:t xml:space="preserve"> of October</w:t>
      </w:r>
    </w:p>
    <w:p w14:paraId="48DED9B8" w14:textId="0D6C34C4" w:rsidR="00CA2A1D" w:rsidRDefault="00CA2A1D" w:rsidP="000357A7">
      <w:pPr>
        <w:rPr>
          <w:b/>
          <w:bCs/>
        </w:rPr>
      </w:pPr>
      <w:r w:rsidRPr="00CA2A1D">
        <w:rPr>
          <w:b/>
          <w:bCs/>
          <w:highlight w:val="yellow"/>
        </w:rPr>
        <w:t>Key points:</w:t>
      </w:r>
      <w:r>
        <w:rPr>
          <w:b/>
          <w:bCs/>
        </w:rPr>
        <w:t xml:space="preserve"> </w:t>
      </w:r>
    </w:p>
    <w:p w14:paraId="0B30EEBD" w14:textId="6C2ECF75" w:rsidR="00CA2A1D" w:rsidRPr="00CA2A1D" w:rsidRDefault="00CA2A1D" w:rsidP="00CA2A1D">
      <w:pPr>
        <w:pStyle w:val="ListParagraph"/>
        <w:numPr>
          <w:ilvl w:val="0"/>
          <w:numId w:val="7"/>
        </w:numPr>
        <w:rPr>
          <w:b/>
          <w:bCs/>
          <w:highlight w:val="yellow"/>
        </w:rPr>
      </w:pPr>
      <w:r w:rsidRPr="00CA2A1D">
        <w:rPr>
          <w:b/>
          <w:bCs/>
          <w:highlight w:val="yellow"/>
        </w:rPr>
        <w:t xml:space="preserve">Understand how statistics can be used for microbiome analysis </w:t>
      </w:r>
    </w:p>
    <w:p w14:paraId="6A060536" w14:textId="5AD9AAB2" w:rsidR="00CA2A1D" w:rsidRPr="00CA2A1D" w:rsidRDefault="00CA2A1D" w:rsidP="00CA2A1D">
      <w:pPr>
        <w:pStyle w:val="ListParagraph"/>
        <w:numPr>
          <w:ilvl w:val="0"/>
          <w:numId w:val="7"/>
        </w:numPr>
        <w:rPr>
          <w:b/>
          <w:bCs/>
          <w:highlight w:val="yellow"/>
        </w:rPr>
      </w:pPr>
      <w:r w:rsidRPr="00CA2A1D">
        <w:rPr>
          <w:b/>
          <w:bCs/>
          <w:highlight w:val="yellow"/>
        </w:rPr>
        <w:t xml:space="preserve">Understand what alpha and beta diversity entails </w:t>
      </w:r>
    </w:p>
    <w:p w14:paraId="6B765DC8" w14:textId="24741E6B" w:rsidR="00CA2A1D" w:rsidRPr="00CA2A1D" w:rsidRDefault="00CA2A1D" w:rsidP="00CA2A1D">
      <w:pPr>
        <w:pStyle w:val="ListParagraph"/>
        <w:numPr>
          <w:ilvl w:val="0"/>
          <w:numId w:val="7"/>
        </w:numPr>
        <w:rPr>
          <w:b/>
          <w:bCs/>
          <w:highlight w:val="yellow"/>
        </w:rPr>
      </w:pPr>
      <w:r w:rsidRPr="00CA2A1D">
        <w:rPr>
          <w:b/>
          <w:bCs/>
          <w:highlight w:val="yellow"/>
        </w:rPr>
        <w:t xml:space="preserve">Understand the code used in R to perform the statistics </w:t>
      </w:r>
    </w:p>
    <w:p w14:paraId="34D350F4" w14:textId="3E3E800B" w:rsidR="00CA2A1D" w:rsidRDefault="00CA2A1D" w:rsidP="00CA2A1D">
      <w:pPr>
        <w:rPr>
          <w:b/>
          <w:bCs/>
        </w:rPr>
      </w:pPr>
    </w:p>
    <w:p w14:paraId="7EC2FA83" w14:textId="378ADC19" w:rsidR="00CA2A1D" w:rsidRPr="00CA2A1D" w:rsidRDefault="00CA2A1D" w:rsidP="00CA2A1D">
      <w:pPr>
        <w:rPr>
          <w:b/>
          <w:bCs/>
        </w:rPr>
      </w:pPr>
      <w:r>
        <w:rPr>
          <w:b/>
          <w:bCs/>
        </w:rPr>
        <w:t xml:space="preserve">What we did? </w:t>
      </w:r>
    </w:p>
    <w:p w14:paraId="35D77930" w14:textId="05CD2329" w:rsidR="00E14A17" w:rsidRDefault="000357A7" w:rsidP="0087186B">
      <w:pPr>
        <w:pStyle w:val="ListParagraph"/>
        <w:numPr>
          <w:ilvl w:val="0"/>
          <w:numId w:val="2"/>
        </w:numPr>
      </w:pPr>
      <w:r>
        <w:t>In this lecture we dive deeper into our data and introduced statistics. We look into alpha and beta diversity</w:t>
      </w:r>
      <w:r w:rsidR="00E14A17">
        <w:t xml:space="preserve"> and with help of R we calculate this. </w:t>
      </w:r>
      <w:proofErr w:type="gramStart"/>
      <w:r w:rsidR="00E14A17">
        <w:t>Also</w:t>
      </w:r>
      <w:proofErr w:type="gramEnd"/>
      <w:r w:rsidR="00E14A17">
        <w:t xml:space="preserve"> we stand still by what a normal distribution is (basis of statistics) and which tests can be used to compare groups such as Wilcox test and/or student t-test. </w:t>
      </w:r>
    </w:p>
    <w:p w14:paraId="6B30E513" w14:textId="610271E0" w:rsidR="000357A7" w:rsidRPr="000357A7" w:rsidRDefault="000357A7" w:rsidP="0087186B">
      <w:pPr>
        <w:pStyle w:val="ListParagraph"/>
        <w:numPr>
          <w:ilvl w:val="0"/>
          <w:numId w:val="2"/>
        </w:numPr>
      </w:pPr>
      <w:r w:rsidRPr="000357A7">
        <w:rPr>
          <w:lang w:val="sv-SE"/>
        </w:rPr>
        <w:t>Alpha diversity: within sample</w:t>
      </w:r>
    </w:p>
    <w:p w14:paraId="4DD10203" w14:textId="470E3F5F" w:rsidR="000357A7" w:rsidRPr="000357A7" w:rsidRDefault="000357A7" w:rsidP="000357A7">
      <w:pPr>
        <w:pStyle w:val="ListParagraph"/>
        <w:numPr>
          <w:ilvl w:val="0"/>
          <w:numId w:val="2"/>
        </w:numPr>
      </w:pPr>
      <w:r w:rsidRPr="00D81FC9">
        <w:t xml:space="preserve">Richness: what are there? </w:t>
      </w:r>
      <w:r w:rsidRPr="000357A7">
        <w:rPr>
          <w:lang w:val="sv-SE"/>
        </w:rPr>
        <w:sym w:font="Wingdings" w:char="F0E0"/>
      </w:r>
      <w:r w:rsidRPr="00D81FC9">
        <w:t xml:space="preserve"> chao1 index and </w:t>
      </w:r>
      <w:r w:rsidR="00E14A17" w:rsidRPr="00D81FC9">
        <w:t>ACE index , shannon diversity, simpson index</w:t>
      </w:r>
    </w:p>
    <w:p w14:paraId="66470D85" w14:textId="3FA1D7AF" w:rsidR="000357A7" w:rsidRPr="00E14A17" w:rsidRDefault="000357A7" w:rsidP="000357A7">
      <w:pPr>
        <w:pStyle w:val="ListParagraph"/>
        <w:numPr>
          <w:ilvl w:val="0"/>
          <w:numId w:val="2"/>
        </w:numPr>
      </w:pPr>
      <w:r w:rsidRPr="00D81FC9">
        <w:t>Evenness: how much is there?</w:t>
      </w:r>
    </w:p>
    <w:p w14:paraId="7CD55F98" w14:textId="7158B180" w:rsidR="00E14A17" w:rsidRPr="00E14A17" w:rsidRDefault="00E14A17" w:rsidP="00E14A17">
      <w:pPr>
        <w:pStyle w:val="ListParagraph"/>
        <w:numPr>
          <w:ilvl w:val="0"/>
          <w:numId w:val="2"/>
        </w:numPr>
      </w:pPr>
      <w:r>
        <w:t xml:space="preserve">Beta diversity: </w:t>
      </w:r>
      <w:r w:rsidRPr="00D81FC9">
        <w:t xml:space="preserve">measurement to characterize </w:t>
      </w:r>
      <w:r w:rsidRPr="00E14A17">
        <w:rPr>
          <w:lang w:val="en-US"/>
        </w:rPr>
        <w:t>the diversity between two samples.</w:t>
      </w:r>
    </w:p>
    <w:p w14:paraId="3EDC2443" w14:textId="20C15716" w:rsidR="000357A7" w:rsidRPr="000357A7" w:rsidRDefault="000357A7" w:rsidP="00E14A17"/>
    <w:p w14:paraId="3090E45E" w14:textId="2362C38A" w:rsidR="000357A7" w:rsidRDefault="000357A7" w:rsidP="000357A7">
      <w:pPr>
        <w:ind w:left="360"/>
      </w:pPr>
    </w:p>
    <w:p w14:paraId="436F93AD" w14:textId="77777777" w:rsidR="000357A7" w:rsidRDefault="000357A7" w:rsidP="000357A7"/>
    <w:sectPr w:rsidR="000357A7" w:rsidSect="00E71D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ova Light">
    <w:panose1 w:val="020B0304020202020204"/>
    <w:charset w:val="00"/>
    <w:family w:val="swiss"/>
    <w:pitch w:val="variable"/>
    <w:sig w:usb0="0000028F"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76F2"/>
    <w:multiLevelType w:val="hybridMultilevel"/>
    <w:tmpl w:val="B1D4B690"/>
    <w:lvl w:ilvl="0" w:tplc="DDDCEA46">
      <w:numFmt w:val="bullet"/>
      <w:lvlText w:val="-"/>
      <w:lvlJc w:val="left"/>
      <w:pPr>
        <w:ind w:left="720" w:hanging="360"/>
      </w:pPr>
      <w:rPr>
        <w:rFonts w:ascii="Arial Nova Light" w:eastAsiaTheme="minorHAnsi"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F41C62"/>
    <w:multiLevelType w:val="hybridMultilevel"/>
    <w:tmpl w:val="87845780"/>
    <w:lvl w:ilvl="0" w:tplc="DDDCEA46">
      <w:numFmt w:val="bullet"/>
      <w:lvlText w:val="-"/>
      <w:lvlJc w:val="left"/>
      <w:pPr>
        <w:ind w:left="720" w:hanging="360"/>
      </w:pPr>
      <w:rPr>
        <w:rFonts w:ascii="Arial Nova Light" w:eastAsiaTheme="minorHAnsi"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4D2C69"/>
    <w:multiLevelType w:val="hybridMultilevel"/>
    <w:tmpl w:val="0720C642"/>
    <w:lvl w:ilvl="0" w:tplc="4EA0C350">
      <w:start w:val="1"/>
      <w:numFmt w:val="bullet"/>
      <w:lvlText w:val="•"/>
      <w:lvlJc w:val="left"/>
      <w:pPr>
        <w:tabs>
          <w:tab w:val="num" w:pos="720"/>
        </w:tabs>
        <w:ind w:left="720" w:hanging="360"/>
      </w:pPr>
      <w:rPr>
        <w:rFonts w:ascii="Arial" w:hAnsi="Arial" w:hint="default"/>
      </w:rPr>
    </w:lvl>
    <w:lvl w:ilvl="1" w:tplc="608A0664" w:tentative="1">
      <w:start w:val="1"/>
      <w:numFmt w:val="bullet"/>
      <w:lvlText w:val="•"/>
      <w:lvlJc w:val="left"/>
      <w:pPr>
        <w:tabs>
          <w:tab w:val="num" w:pos="1440"/>
        </w:tabs>
        <w:ind w:left="1440" w:hanging="360"/>
      </w:pPr>
      <w:rPr>
        <w:rFonts w:ascii="Arial" w:hAnsi="Arial" w:hint="default"/>
      </w:rPr>
    </w:lvl>
    <w:lvl w:ilvl="2" w:tplc="A51EE662" w:tentative="1">
      <w:start w:val="1"/>
      <w:numFmt w:val="bullet"/>
      <w:lvlText w:val="•"/>
      <w:lvlJc w:val="left"/>
      <w:pPr>
        <w:tabs>
          <w:tab w:val="num" w:pos="2160"/>
        </w:tabs>
        <w:ind w:left="2160" w:hanging="360"/>
      </w:pPr>
      <w:rPr>
        <w:rFonts w:ascii="Arial" w:hAnsi="Arial" w:hint="default"/>
      </w:rPr>
    </w:lvl>
    <w:lvl w:ilvl="3" w:tplc="DA64E802" w:tentative="1">
      <w:start w:val="1"/>
      <w:numFmt w:val="bullet"/>
      <w:lvlText w:val="•"/>
      <w:lvlJc w:val="left"/>
      <w:pPr>
        <w:tabs>
          <w:tab w:val="num" w:pos="2880"/>
        </w:tabs>
        <w:ind w:left="2880" w:hanging="360"/>
      </w:pPr>
      <w:rPr>
        <w:rFonts w:ascii="Arial" w:hAnsi="Arial" w:hint="default"/>
      </w:rPr>
    </w:lvl>
    <w:lvl w:ilvl="4" w:tplc="4B009CBC" w:tentative="1">
      <w:start w:val="1"/>
      <w:numFmt w:val="bullet"/>
      <w:lvlText w:val="•"/>
      <w:lvlJc w:val="left"/>
      <w:pPr>
        <w:tabs>
          <w:tab w:val="num" w:pos="3600"/>
        </w:tabs>
        <w:ind w:left="3600" w:hanging="360"/>
      </w:pPr>
      <w:rPr>
        <w:rFonts w:ascii="Arial" w:hAnsi="Arial" w:hint="default"/>
      </w:rPr>
    </w:lvl>
    <w:lvl w:ilvl="5" w:tplc="84B807E4" w:tentative="1">
      <w:start w:val="1"/>
      <w:numFmt w:val="bullet"/>
      <w:lvlText w:val="•"/>
      <w:lvlJc w:val="left"/>
      <w:pPr>
        <w:tabs>
          <w:tab w:val="num" w:pos="4320"/>
        </w:tabs>
        <w:ind w:left="4320" w:hanging="360"/>
      </w:pPr>
      <w:rPr>
        <w:rFonts w:ascii="Arial" w:hAnsi="Arial" w:hint="default"/>
      </w:rPr>
    </w:lvl>
    <w:lvl w:ilvl="6" w:tplc="0700D6A4" w:tentative="1">
      <w:start w:val="1"/>
      <w:numFmt w:val="bullet"/>
      <w:lvlText w:val="•"/>
      <w:lvlJc w:val="left"/>
      <w:pPr>
        <w:tabs>
          <w:tab w:val="num" w:pos="5040"/>
        </w:tabs>
        <w:ind w:left="5040" w:hanging="360"/>
      </w:pPr>
      <w:rPr>
        <w:rFonts w:ascii="Arial" w:hAnsi="Arial" w:hint="default"/>
      </w:rPr>
    </w:lvl>
    <w:lvl w:ilvl="7" w:tplc="CEFC17BC" w:tentative="1">
      <w:start w:val="1"/>
      <w:numFmt w:val="bullet"/>
      <w:lvlText w:val="•"/>
      <w:lvlJc w:val="left"/>
      <w:pPr>
        <w:tabs>
          <w:tab w:val="num" w:pos="5760"/>
        </w:tabs>
        <w:ind w:left="5760" w:hanging="360"/>
      </w:pPr>
      <w:rPr>
        <w:rFonts w:ascii="Arial" w:hAnsi="Arial" w:hint="default"/>
      </w:rPr>
    </w:lvl>
    <w:lvl w:ilvl="8" w:tplc="06DC6B7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1E53A46"/>
    <w:multiLevelType w:val="hybridMultilevel"/>
    <w:tmpl w:val="B9100A70"/>
    <w:lvl w:ilvl="0" w:tplc="0413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D72FDF"/>
    <w:multiLevelType w:val="hybridMultilevel"/>
    <w:tmpl w:val="6256F88A"/>
    <w:lvl w:ilvl="0" w:tplc="0413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934B6"/>
    <w:multiLevelType w:val="hybridMultilevel"/>
    <w:tmpl w:val="F612D244"/>
    <w:lvl w:ilvl="0" w:tplc="DDDCEA46">
      <w:numFmt w:val="bullet"/>
      <w:lvlText w:val="-"/>
      <w:lvlJc w:val="left"/>
      <w:pPr>
        <w:ind w:left="720" w:hanging="360"/>
      </w:pPr>
      <w:rPr>
        <w:rFonts w:ascii="Arial Nova Light" w:eastAsiaTheme="minorHAnsi"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875C9E"/>
    <w:multiLevelType w:val="hybridMultilevel"/>
    <w:tmpl w:val="B87AC540"/>
    <w:lvl w:ilvl="0" w:tplc="B524C120">
      <w:start w:val="1"/>
      <w:numFmt w:val="bullet"/>
      <w:lvlText w:val="•"/>
      <w:lvlJc w:val="left"/>
      <w:pPr>
        <w:tabs>
          <w:tab w:val="num" w:pos="720"/>
        </w:tabs>
        <w:ind w:left="720" w:hanging="360"/>
      </w:pPr>
      <w:rPr>
        <w:rFonts w:ascii="Arial" w:hAnsi="Arial" w:hint="default"/>
      </w:rPr>
    </w:lvl>
    <w:lvl w:ilvl="1" w:tplc="6C36BC4A">
      <w:numFmt w:val="bullet"/>
      <w:lvlText w:val="•"/>
      <w:lvlJc w:val="left"/>
      <w:pPr>
        <w:tabs>
          <w:tab w:val="num" w:pos="1440"/>
        </w:tabs>
        <w:ind w:left="1440" w:hanging="360"/>
      </w:pPr>
      <w:rPr>
        <w:rFonts w:ascii="Arial" w:hAnsi="Arial" w:hint="default"/>
      </w:rPr>
    </w:lvl>
    <w:lvl w:ilvl="2" w:tplc="102CD2F0" w:tentative="1">
      <w:start w:val="1"/>
      <w:numFmt w:val="bullet"/>
      <w:lvlText w:val="•"/>
      <w:lvlJc w:val="left"/>
      <w:pPr>
        <w:tabs>
          <w:tab w:val="num" w:pos="2160"/>
        </w:tabs>
        <w:ind w:left="2160" w:hanging="360"/>
      </w:pPr>
      <w:rPr>
        <w:rFonts w:ascii="Arial" w:hAnsi="Arial" w:hint="default"/>
      </w:rPr>
    </w:lvl>
    <w:lvl w:ilvl="3" w:tplc="BB821AAE" w:tentative="1">
      <w:start w:val="1"/>
      <w:numFmt w:val="bullet"/>
      <w:lvlText w:val="•"/>
      <w:lvlJc w:val="left"/>
      <w:pPr>
        <w:tabs>
          <w:tab w:val="num" w:pos="2880"/>
        </w:tabs>
        <w:ind w:left="2880" w:hanging="360"/>
      </w:pPr>
      <w:rPr>
        <w:rFonts w:ascii="Arial" w:hAnsi="Arial" w:hint="default"/>
      </w:rPr>
    </w:lvl>
    <w:lvl w:ilvl="4" w:tplc="DF50B214" w:tentative="1">
      <w:start w:val="1"/>
      <w:numFmt w:val="bullet"/>
      <w:lvlText w:val="•"/>
      <w:lvlJc w:val="left"/>
      <w:pPr>
        <w:tabs>
          <w:tab w:val="num" w:pos="3600"/>
        </w:tabs>
        <w:ind w:left="3600" w:hanging="360"/>
      </w:pPr>
      <w:rPr>
        <w:rFonts w:ascii="Arial" w:hAnsi="Arial" w:hint="default"/>
      </w:rPr>
    </w:lvl>
    <w:lvl w:ilvl="5" w:tplc="3A92700E" w:tentative="1">
      <w:start w:val="1"/>
      <w:numFmt w:val="bullet"/>
      <w:lvlText w:val="•"/>
      <w:lvlJc w:val="left"/>
      <w:pPr>
        <w:tabs>
          <w:tab w:val="num" w:pos="4320"/>
        </w:tabs>
        <w:ind w:left="4320" w:hanging="360"/>
      </w:pPr>
      <w:rPr>
        <w:rFonts w:ascii="Arial" w:hAnsi="Arial" w:hint="default"/>
      </w:rPr>
    </w:lvl>
    <w:lvl w:ilvl="6" w:tplc="5EF2D792" w:tentative="1">
      <w:start w:val="1"/>
      <w:numFmt w:val="bullet"/>
      <w:lvlText w:val="•"/>
      <w:lvlJc w:val="left"/>
      <w:pPr>
        <w:tabs>
          <w:tab w:val="num" w:pos="5040"/>
        </w:tabs>
        <w:ind w:left="5040" w:hanging="360"/>
      </w:pPr>
      <w:rPr>
        <w:rFonts w:ascii="Arial" w:hAnsi="Arial" w:hint="default"/>
      </w:rPr>
    </w:lvl>
    <w:lvl w:ilvl="7" w:tplc="85A46BBE" w:tentative="1">
      <w:start w:val="1"/>
      <w:numFmt w:val="bullet"/>
      <w:lvlText w:val="•"/>
      <w:lvlJc w:val="left"/>
      <w:pPr>
        <w:tabs>
          <w:tab w:val="num" w:pos="5760"/>
        </w:tabs>
        <w:ind w:left="5760" w:hanging="360"/>
      </w:pPr>
      <w:rPr>
        <w:rFonts w:ascii="Arial" w:hAnsi="Arial" w:hint="default"/>
      </w:rPr>
    </w:lvl>
    <w:lvl w:ilvl="8" w:tplc="F5CEA41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6"/>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520"/>
    <w:rsid w:val="000357A7"/>
    <w:rsid w:val="000E1377"/>
    <w:rsid w:val="00152738"/>
    <w:rsid w:val="002A33BA"/>
    <w:rsid w:val="00357EFB"/>
    <w:rsid w:val="005923E9"/>
    <w:rsid w:val="00916A9C"/>
    <w:rsid w:val="00B807F4"/>
    <w:rsid w:val="00CA2A1D"/>
    <w:rsid w:val="00CC0B04"/>
    <w:rsid w:val="00CC0F80"/>
    <w:rsid w:val="00D37F3F"/>
    <w:rsid w:val="00D81FC9"/>
    <w:rsid w:val="00DC2520"/>
    <w:rsid w:val="00E14A17"/>
    <w:rsid w:val="00E71D25"/>
    <w:rsid w:val="00F162F7"/>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DADD"/>
  <w15:chartTrackingRefBased/>
  <w15:docId w15:val="{FA8E419C-7B24-4616-9846-DEE781C9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F3F"/>
    <w:rPr>
      <w:rFonts w:ascii="Arial Nova Light" w:hAnsi="Arial Nova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52658">
      <w:bodyDiv w:val="1"/>
      <w:marLeft w:val="0"/>
      <w:marRight w:val="0"/>
      <w:marTop w:val="0"/>
      <w:marBottom w:val="0"/>
      <w:divBdr>
        <w:top w:val="none" w:sz="0" w:space="0" w:color="auto"/>
        <w:left w:val="none" w:sz="0" w:space="0" w:color="auto"/>
        <w:bottom w:val="none" w:sz="0" w:space="0" w:color="auto"/>
        <w:right w:val="none" w:sz="0" w:space="0" w:color="auto"/>
      </w:divBdr>
    </w:div>
    <w:div w:id="352732527">
      <w:bodyDiv w:val="1"/>
      <w:marLeft w:val="0"/>
      <w:marRight w:val="0"/>
      <w:marTop w:val="0"/>
      <w:marBottom w:val="0"/>
      <w:divBdr>
        <w:top w:val="none" w:sz="0" w:space="0" w:color="auto"/>
        <w:left w:val="none" w:sz="0" w:space="0" w:color="auto"/>
        <w:bottom w:val="none" w:sz="0" w:space="0" w:color="auto"/>
        <w:right w:val="none" w:sz="0" w:space="0" w:color="auto"/>
      </w:divBdr>
      <w:divsChild>
        <w:div w:id="479079794">
          <w:marLeft w:val="547"/>
          <w:marRight w:val="0"/>
          <w:marTop w:val="0"/>
          <w:marBottom w:val="0"/>
          <w:divBdr>
            <w:top w:val="none" w:sz="0" w:space="0" w:color="auto"/>
            <w:left w:val="none" w:sz="0" w:space="0" w:color="auto"/>
            <w:bottom w:val="none" w:sz="0" w:space="0" w:color="auto"/>
            <w:right w:val="none" w:sz="0" w:space="0" w:color="auto"/>
          </w:divBdr>
        </w:div>
      </w:divsChild>
    </w:div>
    <w:div w:id="885221015">
      <w:bodyDiv w:val="1"/>
      <w:marLeft w:val="0"/>
      <w:marRight w:val="0"/>
      <w:marTop w:val="0"/>
      <w:marBottom w:val="0"/>
      <w:divBdr>
        <w:top w:val="none" w:sz="0" w:space="0" w:color="auto"/>
        <w:left w:val="none" w:sz="0" w:space="0" w:color="auto"/>
        <w:bottom w:val="none" w:sz="0" w:space="0" w:color="auto"/>
        <w:right w:val="none" w:sz="0" w:space="0" w:color="auto"/>
      </w:divBdr>
      <w:divsChild>
        <w:div w:id="1449161870">
          <w:marLeft w:val="360"/>
          <w:marRight w:val="0"/>
          <w:marTop w:val="200"/>
          <w:marBottom w:val="0"/>
          <w:divBdr>
            <w:top w:val="none" w:sz="0" w:space="0" w:color="auto"/>
            <w:left w:val="none" w:sz="0" w:space="0" w:color="auto"/>
            <w:bottom w:val="none" w:sz="0" w:space="0" w:color="auto"/>
            <w:right w:val="none" w:sz="0" w:space="0" w:color="auto"/>
          </w:divBdr>
        </w:div>
        <w:div w:id="1714159819">
          <w:marLeft w:val="1080"/>
          <w:marRight w:val="0"/>
          <w:marTop w:val="100"/>
          <w:marBottom w:val="0"/>
          <w:divBdr>
            <w:top w:val="none" w:sz="0" w:space="0" w:color="auto"/>
            <w:left w:val="none" w:sz="0" w:space="0" w:color="auto"/>
            <w:bottom w:val="none" w:sz="0" w:space="0" w:color="auto"/>
            <w:right w:val="none" w:sz="0" w:space="0" w:color="auto"/>
          </w:divBdr>
        </w:div>
        <w:div w:id="945893724">
          <w:marLeft w:val="1080"/>
          <w:marRight w:val="0"/>
          <w:marTop w:val="100"/>
          <w:marBottom w:val="0"/>
          <w:divBdr>
            <w:top w:val="none" w:sz="0" w:space="0" w:color="auto"/>
            <w:left w:val="none" w:sz="0" w:space="0" w:color="auto"/>
            <w:bottom w:val="none" w:sz="0" w:space="0" w:color="auto"/>
            <w:right w:val="none" w:sz="0" w:space="0" w:color="auto"/>
          </w:divBdr>
        </w:div>
      </w:divsChild>
    </w:div>
    <w:div w:id="169608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Ezzamouri, Bouchra</dc:creator>
  <cp:keywords/>
  <dc:description/>
  <cp:lastModifiedBy>yang hong</cp:lastModifiedBy>
  <cp:revision>2</cp:revision>
  <dcterms:created xsi:type="dcterms:W3CDTF">2021-10-28T14:59:00Z</dcterms:created>
  <dcterms:modified xsi:type="dcterms:W3CDTF">2021-10-28T14:59:00Z</dcterms:modified>
</cp:coreProperties>
</file>