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2027 AX 챌린저 실행 설계 제안</w:t>
      </w:r>
    </w:p>
    <w:p>
      <w:pPr>
        <w:pStyle w:val="Subtitle"/>
      </w:pPr>
      <w:r>
        <w:t>2026년 10월 4일 자료 분석과 추가 계획  |  내부 검토용</w:t>
      </w:r>
    </w:p>
    <w:p>
      <w:r>
        <w:t>2027년에는 기존 서비스의 운영 책임과 실제 활용을 먼저 정비하고, 현업 문제를 해결할 소수 과제를 2기 협업팀이 끝까지 수행하는 체계를 제안한다. 개발 참여자와 현업 검증·확산 참여자가 같은 과제로 협업하며 배포 뒤 운영·대체 담당까지 연결한다. 범용 AI 활용과 문화 확산 활동은 계속 지원한다.</w:t>
      </w:r>
    </w:p>
    <w:p>
      <w:r>
        <w:t>이 문서는 2026년 10월 4일 자료 분석에 따른 추가 설계 제안이다. L08 사업계획안의 연간 방향·일정·예산요구액을 기준으로 운영방식·우선순위·단계 조건을 구체화했다. 8주 과정, 연간 시범 2건 이내, 초기 동시 신규 개발 1건, 과제팀 3~5명, 예산 배분과 관리 목표는 이번 제안이며 확정 사업량·예산·인사 배정이 아니다.</w:t>
      </w:r>
    </w:p>
    <w:p>
      <w:pPr>
        <w:pStyle w:val="Heading1"/>
      </w:pPr>
      <w:r>
        <w:t>자료에서 확인된 문제와 설계 판단</w:t>
      </w:r>
    </w:p>
    <w:tbl>
      <w:tblPr>
        <w:tblW w:type="auto" w:w="0"/>
        <w:jc w:val="center"/>
        <w:tblLayout w:type="fixed"/>
        <w:tblLook w:firstColumn="1" w:firstRow="1" w:lastColumn="0" w:lastRow="0" w:noHBand="0" w:noVBand="1" w:val="04A0"/>
      </w:tblPr>
      <w:tblGrid>
        <w:gridCol w:w="4932"/>
        <w:gridCol w:w="4932"/>
      </w:tblGrid>
      <w:tr>
        <w:trPr>
          <w:cantSplit/>
          <w:tblHeader/>
        </w:trPr>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확인된 맥락</w:t>
            </w:r>
          </w:p>
        </w:tc>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2027년 설계에 반영</w:t>
            </w:r>
          </w:p>
        </w:tc>
      </w:tr>
      <w:tr>
        <w:trPr>
          <w:cantSplit/>
        </w:trPr>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5~6월 챌린저 역할이 부서의 활용 문화 확산자로 재정의됨 [N17]</w:t>
            </w:r>
          </w:p>
        </w:tc>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모두에게 개발을 요구하지 않고 과제 안에서 개발·검증·확산 역할 협업</w:t>
            </w:r>
          </w:p>
        </w:tc>
      </w:tr>
      <w:tr>
        <w:trPr>
          <w:cantSplit/>
        </w:trPr>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수입행정은 시설 자료 비교·표준화·현장 검증으로 발전 [L04·N06]</w:t>
            </w:r>
          </w:p>
        </w:tc>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도구를 만드는 것과 현장 적용을 같은 과제의 책임 범위로 설정</w:t>
            </w:r>
          </w:p>
        </w:tc>
      </w:tr>
      <w:tr>
        <w:trPr>
          <w:cantSplit/>
        </w:trPr>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월간보고는 새 입력과 복합 서식 때문에 즉시 적용 어려움 [L06]</w:t>
            </w:r>
          </w:p>
        </w:tc>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서식과 수집체계 재설계를 착수 조건으로 설정</w:t>
            </w:r>
          </w:p>
        </w:tc>
      </w:tr>
      <w:tr>
        <w:trPr>
          <w:cantSplit/>
        </w:trPr>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일쉼 공동실습과 접수서비스의 실제 저장 검증 경험 [N04]</w:t>
            </w:r>
          </w:p>
        </w:tc>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공동실습·후속 지원과 저장 도착·예외·복원 확인을 배포 조건에 포함</w:t>
            </w:r>
          </w:p>
        </w:tc>
      </w:tr>
      <w:tr>
        <w:trPr>
          <w:cantSplit/>
        </w:trPr>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2027년 계획안에 기존 서비스·API·클라우드·DB·보안·백업 명시 [L08]</w:t>
            </w:r>
          </w:p>
        </w:tc>
        <w:tc>
          <w:tcPr>
            <w:tcW w:type="dxa" w:w="493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신규 개발과 별도로 연중 운영 관리의 책임·예산 확보</w:t>
            </w:r>
          </w:p>
        </w:tc>
      </w:tr>
    </w:tbl>
    <w:p>
      <w:pPr>
        <w:spacing w:after="0" w:line="40" w:lineRule="exact"/>
      </w:pPr>
      <w:r>
        <w:rPr>
          <w:sz w:val="4"/>
        </w:rPr>
      </w:r>
    </w:p>
    <w:p>
      <w:pPr>
        <w:pStyle w:val="Heading1"/>
      </w:pPr>
      <w:r>
        <w:t>운영 규모 제안</w:t>
      </w:r>
    </w:p>
    <w:p>
      <w:r>
        <w:t>연간 신규·재설계 시범과제를 2건 이내로 시작하고 초기 동시 신규 개발은 1건으로 제한하는 방안을 제안한다. 기존 서비스의 유지관리와 작은 재사용 개선은 별도 관리한다. 업무시간을 확보한 개발자·현업 검증자와 운영·대체 담당이 연결된 과제만 착수하며, 6월 점검에서 차수와 범위를 조정한다.</w:t>
      </w:r>
    </w:p>
    <w:p>
      <w:r>
        <w:br w:type="page"/>
      </w:r>
    </w:p>
    <w:p>
      <w:pPr>
        <w:pStyle w:val="Heading1"/>
      </w:pPr>
      <w:r>
        <w:t>우선 추진 과제 후보</w:t>
      </w:r>
    </w:p>
    <w:p>
      <w:r>
        <w:t>아래는 확정 과제 목록이 아니라 2026년 자료에서 도출한 후보와 권고 순서다. 신규 구축보다 운영 기반 정비와 재사용을 먼저 확인한다. 모든 후보를 연간 과제 2건에 합산하거나 모두 추진하는 것으로 해석하지 않는다.</w:t>
      </w:r>
    </w:p>
    <w:tbl>
      <w:tblPr>
        <w:tblW w:type="auto" w:w="0"/>
        <w:jc w:val="center"/>
        <w:tblLayout w:type="fixed"/>
        <w:tblLook w:firstColumn="1" w:firstRow="1" w:lastColumn="0" w:lastRow="0" w:noHBand="0" w:noVBand="1" w:val="04A0"/>
      </w:tblPr>
      <w:tblGrid>
        <w:gridCol w:w="1304"/>
        <w:gridCol w:w="2665"/>
        <w:gridCol w:w="5896"/>
      </w:tblGrid>
      <w:tr>
        <w:trPr>
          <w:cantSplit/>
          <w:tblHeader/>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순위</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후보</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추진 판단</w:t>
            </w:r>
          </w:p>
        </w:tc>
      </w:tr>
      <w:tr>
        <w:trPr>
          <w:cantSplit/>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P0 필수</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KPI·수입행정·현장 웹서비스 운영 정비</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서비스별 운영·대체 담당, 실제 사용·계정·비용·자료·권한 목록과 백업·복원 확인. 서비스 운영범위는 1~2월 현황 조사로 확정.</w:t>
            </w:r>
          </w:p>
        </w:tc>
      </w:tr>
      <w:tr>
        <w:trPr>
          <w:cantSplit/>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P1 우선</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수입행정 정확성·사용성 개선</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시설별 원본 대조, 예외자료 처리, 백업 실습, 같은 범위 작업시간 확인 후 필요한 기능만 보완. 기존 로컬 방식의 일괄 클라우드 전환을 전제하지 않음.</w:t>
            </w:r>
          </w:p>
        </w:tc>
      </w:tr>
      <w:tr>
        <w:trPr>
          <w:cantSplit/>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P1 우선</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문서 자동화 도구 재사용 패키지</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안전교육일지·출석부를 재사용 후보로 검토. 지원 서식, 예제, 사용법, 오류 안내를 함께 묶고 타부서 서식 차이를 시험. 검증 통과 도구부터 배포.</w:t>
            </w:r>
          </w:p>
        </w:tc>
      </w:tr>
      <w:tr>
        <w:trPr>
          <w:cantSplit/>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P2 조건부</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월간 업무보고 작성·취합 재설계</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필수 항목과 원본 입력 위치를 먼저 합의. 입력·취합·HWPX 출력의 중복을 줄일 수 있는 경우 1~2개 부서 시범을 제안. 서식 합의 전 코드 추가개발은 보류.</w:t>
            </w:r>
          </w:p>
        </w:tc>
      </w:tr>
      <w:tr>
        <w:trPr>
          <w:cantSplit/>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P2 선택</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공개통계 브리프 재사용</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기존 고용동향 생성기의 실행환경·통계표 변경·출처·검증 절차를 정리해 다른 공개통계 업무에 적용 가능한지 검토. 통계 해석·수치 확인은 담당자가 수행.</w:t>
            </w:r>
          </w:p>
        </w:tc>
      </w:tr>
      <w:tr>
        <w:trPr>
          <w:cantSplit/>
        </w:trPr>
        <w:tc>
          <w:tcPr>
            <w:tcW w:type="dxa" w:w="130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공통 지원</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현장·접수서비스와 공동실습</w:t>
            </w:r>
          </w:p>
        </w:tc>
        <w:tc>
          <w:tcPr>
            <w:tcW w:type="dxa" w:w="589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이미 운영 중인 카페·사업 접수서비스의 저장·권한·문의·복원 점검과 재사용 부품 정리. 부서별 짧은 실습과 후속 문의 지원을 과제 진행과 연결.</w:t>
            </w:r>
          </w:p>
        </w:tc>
      </w:tr>
    </w:tbl>
    <w:p>
      <w:pPr>
        <w:spacing w:after="0" w:line="40" w:lineRule="exact"/>
      </w:pPr>
      <w:r>
        <w:rPr>
          <w:sz w:val="4"/>
        </w:rPr>
      </w:r>
    </w:p>
    <w:p>
      <w:pPr>
        <w:pStyle w:val="Heading1"/>
      </w:pPr>
      <w:r>
        <w:t>1차 시범 선정 권고</w:t>
      </w:r>
    </w:p>
    <w:p>
      <w:r>
        <w:t>수입행정 사용성 개선 또는 문서 자동화 재사용 중 현업 담당·자료·개발 여력이 확보된 후보를 먼저 선택한다. 월간보고 재설계는 별도 현업 협의를 진행하되 표준 서식·입력 위치가 합의되지 않으면 개발 시범으로 전환하지 않는다. 공개통계 재사용은 앞선 과제의 운영 부담을 확인한 뒤 선택 후보로 둔다.</w:t>
      </w:r>
    </w:p>
    <w:p>
      <w:r>
        <w:br w:type="page"/>
      </w:r>
    </w:p>
    <w:p>
      <w:pPr>
        <w:pStyle w:val="Heading1"/>
      </w:pPr>
      <w:r>
        <w:t>2기 참여와 협업 조직</w:t>
      </w:r>
    </w:p>
    <w:p>
      <w:r>
        <w:t>전략경영실 중심으로 과제·예산·일정·성과를 조정하는 운영 주관을 제안한다. 예산·보안·정보화 관련 기능은 필요 단계에서 협의하며 새 부서나 상설 직제를 신설하는 안으로 제시하지 않는다. 2026년 챌린저 경험을 연계하되 기존 15명을 자동으로 재위촉하거나 개인 역할을 배정하지 않는다.</w:t>
      </w:r>
    </w:p>
    <w:tbl>
      <w:tblPr>
        <w:tblW w:type="auto" w:w="0"/>
        <w:jc w:val="center"/>
        <w:tblLayout w:type="fixed"/>
        <w:tblLook w:firstColumn="1" w:firstRow="1" w:lastColumn="0" w:lastRow="0" w:noHBand="0" w:noVBand="1" w:val="04A0"/>
      </w:tblPr>
      <w:tblGrid>
        <w:gridCol w:w="1928"/>
        <w:gridCol w:w="5272"/>
        <w:gridCol w:w="2665"/>
      </w:tblGrid>
      <w:tr>
        <w:trPr>
          <w:cantSplit/>
          <w:tblHeader/>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역할</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책임과 결정</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기본 산출물</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운영 주관</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우선순위·범위·일정·자원 조정, 배포 판단 절차 지원</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과제·서비스 대장, 월별 운영 확인</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현업 과제 담당</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업무 정의·예외·원본 대조, 실제 사용 확인</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과제카드, 예제, 검증 기록</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개발 참여자</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최소 기능 구현·오류 수정·변경 기록</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시제품, 버전, 실행·운영 설명</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확산 참여자</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공동실습·사용 안내·반복 사용·문의 취합</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실습자료, 사용지원 기록</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운영·대체 담당</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계정·비용·권한·백업·복원·장애·인수인계</w:t>
            </w:r>
          </w:p>
        </w:tc>
        <w:tc>
          <w:tcPr>
            <w:tcW w:type="dxa" w:w="266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운영대장, 복원·대체 수행 기록</w:t>
            </w:r>
          </w:p>
        </w:tc>
      </w:tr>
    </w:tbl>
    <w:p>
      <w:pPr>
        <w:spacing w:after="0" w:line="40" w:lineRule="exact"/>
      </w:pPr>
      <w:r>
        <w:rPr>
          <w:sz w:val="4"/>
        </w:rPr>
      </w:r>
    </w:p>
    <w:p>
      <w:pPr>
        <w:pStyle w:val="Heading1"/>
      </w:pPr>
      <w:r>
        <w:t>참여자 선정 방식 제안</w:t>
      </w:r>
    </w:p>
    <w:p>
      <w:r>
        <w:t>2~3월 과제 발굴과 함께 개발·현업 검증·확산 관심을 접수한다. 개발 참여자는 작은 구현 사례 또는 예제 과제를, 현업 담당자는 실제 문제와 시험 자료를, 확산 참여자는 동료 실습·안내 경험과 지원 의사를 확인한다. 개발 능력만으로 모든 참여자를 평가하지 않는다.</w:t>
      </w:r>
    </w:p>
    <w:p>
      <w:r>
        <w:t>과제팀은 3~5명 역할 구성으로 시작하는 방안을 제안하며 총 위촉 인원은 확정하지 않는다. 역할 겸임을 허용하되 최종 업무 검증은 개발자와 다른 사람이 수행한다. 업무 책임 부서는 개발·시험·사용지원 시간을 사전에 협의하고, 운영·대체 담당이 없는 서비스는 배포 확대를 보류한다.</w:t>
      </w:r>
    </w:p>
    <w:p>
      <w:r>
        <w:br w:type="page"/>
      </w:r>
    </w:p>
    <w:p>
      <w:pPr>
        <w:pStyle w:val="Heading1"/>
      </w:pPr>
      <w:r>
        <w:t>과제 선정과 MVP 육성과정</w:t>
      </w:r>
    </w:p>
    <w:p>
      <w:r>
        <w:t>착수 전에 현업 검증자, 사용할 수 있는 예제자료, 자료 취급 범위, 현재 업무·시간 기준선, 구현·운영 여력을 확인한다. 자료 취급과 보안 조건 미충족은 점수로 상쇄하지 않고 먼저 해소한다.</w:t>
      </w:r>
    </w:p>
    <w:tbl>
      <w:tblPr>
        <w:tblW w:type="auto" w:w="0"/>
        <w:jc w:val="center"/>
        <w:tblLayout w:type="fixed"/>
        <w:tblLook w:firstColumn="1" w:firstRow="1" w:lastColumn="0" w:lastRow="0" w:noHBand="0" w:noVBand="1" w:val="04A0"/>
      </w:tblPr>
      <w:tblGrid>
        <w:gridCol w:w="2835"/>
        <w:gridCol w:w="1531"/>
        <w:gridCol w:w="5499"/>
      </w:tblGrid>
      <w:tr>
        <w:trPr>
          <w:cantSplit/>
          <w:tblHeader/>
        </w:trPr>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선정 항목</w:t>
            </w:r>
          </w:p>
        </w:tc>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배점 제안</w:t>
            </w:r>
          </w:p>
        </w:tc>
        <w:tc>
          <w:tcPr>
            <w:tcW w:type="dxa" w:w="549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확인 내용</w:t>
            </w:r>
          </w:p>
        </w:tc>
      </w:tr>
      <w:tr>
        <w:trPr>
          <w:cantSplit/>
        </w:trPr>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업무 부담·개선 효과</w:t>
            </w:r>
          </w:p>
        </w:tc>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30</w:t>
            </w:r>
          </w:p>
        </w:tc>
        <w:tc>
          <w:tcPr>
            <w:tcW w:type="dxa" w:w="549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빈도·시간·오류·재작업과 실제 병목</w:t>
            </w:r>
          </w:p>
        </w:tc>
      </w:tr>
      <w:tr>
        <w:trPr>
          <w:cantSplit/>
        </w:trPr>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공동 활용·재사용</w:t>
            </w:r>
          </w:p>
        </w:tc>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25</w:t>
            </w:r>
          </w:p>
        </w:tc>
        <w:tc>
          <w:tcPr>
            <w:tcW w:type="dxa" w:w="549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다른 부서의 같은 문제와 서식 차이</w:t>
            </w:r>
          </w:p>
        </w:tc>
      </w:tr>
      <w:tr>
        <w:trPr>
          <w:cantSplit/>
        </w:trPr>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자료·서식 준비도</w:t>
            </w:r>
          </w:p>
        </w:tc>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20</w:t>
            </w:r>
          </w:p>
        </w:tc>
        <w:tc>
          <w:tcPr>
            <w:tcW w:type="dxa" w:w="549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원본 입력 위치·표준 항목·예외자료</w:t>
            </w:r>
          </w:p>
        </w:tc>
      </w:tr>
      <w:tr>
        <w:trPr>
          <w:cantSplit/>
        </w:trPr>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구현 가능성</w:t>
            </w:r>
          </w:p>
        </w:tc>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15</w:t>
            </w:r>
          </w:p>
        </w:tc>
        <w:tc>
          <w:tcPr>
            <w:tcW w:type="dxa" w:w="549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담당자 역량·확보 시간·기존 도구 활용</w:t>
            </w:r>
          </w:p>
        </w:tc>
      </w:tr>
      <w:tr>
        <w:trPr>
          <w:cantSplit/>
        </w:trPr>
        <w:tc>
          <w:tcPr>
            <w:tcW w:type="dxa" w:w="283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유지관리 가능성</w:t>
            </w:r>
          </w:p>
        </w:tc>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10</w:t>
            </w:r>
          </w:p>
        </w:tc>
        <w:tc>
          <w:tcPr>
            <w:tcW w:type="dxa" w:w="549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비용·운영·대체 담당·인수인계</w:t>
            </w:r>
          </w:p>
        </w:tc>
      </w:tr>
    </w:tbl>
    <w:p>
      <w:pPr>
        <w:spacing w:after="0" w:line="40" w:lineRule="exact"/>
      </w:pPr>
      <w:r>
        <w:rPr>
          <w:sz w:val="4"/>
        </w:rPr>
      </w:r>
    </w:p>
    <w:tbl>
      <w:tblPr>
        <w:tblW w:type="auto" w:w="0"/>
        <w:jc w:val="center"/>
        <w:tblLayout w:type="fixed"/>
        <w:tblLook w:firstColumn="1" w:firstRow="1" w:lastColumn="0" w:lastRow="0" w:noHBand="0" w:noVBand="1" w:val="04A0"/>
      </w:tblPr>
      <w:tblGrid>
        <w:gridCol w:w="2041"/>
        <w:gridCol w:w="4706"/>
        <w:gridCol w:w="3118"/>
      </w:tblGrid>
      <w:tr>
        <w:trPr>
          <w:cantSplit/>
          <w:tblHeader/>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8주 과정 제안</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핵심 활동</w:t>
            </w:r>
          </w:p>
        </w:tc>
        <w:tc>
          <w:tcPr>
            <w:tcW w:type="dxa" w:w="311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확인 결과</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1~2주</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문제·서식·입력 위치와 최소 기능 합의</w:t>
            </w:r>
          </w:p>
        </w:tc>
        <w:tc>
          <w:tcPr>
            <w:tcW w:type="dxa" w:w="311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과제카드·기준선·검증 예제</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3~4주</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핵심 기능 구현, 현업 중간 확인</w:t>
            </w:r>
          </w:p>
        </w:tc>
        <w:tc>
          <w:tcPr>
            <w:tcW w:type="dxa" w:w="311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시제품·오류·변경 기록</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5~6주</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실제 업무의 정상·예외·저장 결과 시험</w:t>
            </w:r>
          </w:p>
        </w:tc>
        <w:tc>
          <w:tcPr>
            <w:tcW w:type="dxa" w:w="311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원본 일치·입력 부담·예외 처리</w:t>
            </w:r>
          </w:p>
        </w:tc>
      </w:tr>
      <w:tr>
        <w:trPr>
          <w:cantSplit/>
        </w:trPr>
        <w:tc>
          <w:tcPr>
            <w:tcW w:type="dxa" w:w="204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7~8주</w:t>
            </w:r>
          </w:p>
        </w:tc>
        <w:tc>
          <w:tcPr>
            <w:tcW w:type="dxa" w:w="4706"/>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보완, 설명서·실습·운영 인계 준비</w:t>
            </w:r>
          </w:p>
        </w:tc>
        <w:tc>
          <w:tcPr>
            <w:tcW w:type="dxa" w:w="311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배포 조건 확인 또는 보완 결정</w:t>
            </w:r>
          </w:p>
        </w:tc>
      </w:tr>
    </w:tbl>
    <w:p>
      <w:pPr>
        <w:spacing w:after="0" w:line="40" w:lineRule="exact"/>
      </w:pPr>
      <w:r>
        <w:rPr>
          <w:sz w:val="4"/>
        </w:rPr>
      </w:r>
    </w:p>
    <w:p>
      <w:pPr>
        <w:pStyle w:val="Heading1"/>
      </w:pPr>
      <w:r>
        <w:t>배포를 결정하는 조건</w:t>
      </w:r>
    </w:p>
    <w:p>
      <w:r>
        <w:t>① 원본과 출력·집계가 맞는가 ② 불필요한 재입력·이중 관리가 줄었는가 ③ 사용자 권한과 실제 저장이 검증됐는가 ④ 운영·대체 담당과 비용·복원 방법이 있는가 ⑤ 사용자 안내와 대체 절차가 준비됐는가를 확인한다. 8주는 제작·학습 기준이며 월간 업무 등 실제 사용 주기를 충분히 확인한 뒤 배포 여부를 판단한다.</w:t>
      </w:r>
    </w:p>
    <w:p>
      <w:r>
        <w:br w:type="page"/>
      </w:r>
    </w:p>
    <w:p>
      <w:pPr>
        <w:pStyle w:val="Heading1"/>
      </w:pPr>
      <w:r>
        <w:t>목표 아키텍처와 자료 흐름</w:t>
      </w:r>
    </w:p>
    <w:p>
      <w:r>
        <w:t>단일 플랫폼으로 모든 서비스를 통합하지 않고 업무별 실행 방식과 자료의 범위를 정한다. 파일·로컬 업무는 현재 방식의 장점을 유지하면서 배포 파일·버전·백업·복원을 정비한다. 다중 사용자 웹업무는 사용자 인증과 권한, 자료 저장·조회·관리 기능을 함께 설계한다. 서비스에서 AI 기능이 필요한 경우에만 허용 자료의 API 처리를 추가한다.</w:t>
      </w:r>
    </w:p>
    <w:tbl>
      <w:tblPr>
        <w:tblW w:type="auto" w:w="0"/>
        <w:jc w:val="center"/>
        <w:tblLayout w:type="fixed"/>
        <w:tblLook w:firstColumn="1" w:firstRow="1" w:lastColumn="0" w:lastRow="0" w:noHBand="0" w:noVBand="1" w:val="04A0"/>
      </w:tblPr>
      <w:tblGrid>
        <w:gridCol w:w="1928"/>
        <w:gridCol w:w="4649"/>
        <w:gridCol w:w="3288"/>
      </w:tblGrid>
      <w:tr>
        <w:trPr>
          <w:cantSplit/>
          <w:tblHeader/>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구현 유형</w:t>
            </w:r>
          </w:p>
        </w:tc>
        <w:tc>
          <w:tcPr>
            <w:tcW w:type="dxa" w:w="464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기본 흐름</w:t>
            </w:r>
          </w:p>
        </w:tc>
        <w:tc>
          <w:tcPr>
            <w:tcW w:type="dxa" w:w="328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설계 판단</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파일·로컬</w:t>
            </w:r>
          </w:p>
        </w:tc>
        <w:tc>
          <w:tcPr>
            <w:tcW w:type="dxa" w:w="464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원본 → PC 처리·저장 → 문서·집계 → 원본 확인</w:t>
            </w:r>
          </w:p>
        </w:tc>
        <w:tc>
          <w:tcPr>
            <w:tcW w:type="dxa" w:w="328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수입행정 등 기존 로컬 도구의 공통 서버 이전을 전제하지 않음</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웹·공유</w:t>
            </w:r>
          </w:p>
        </w:tc>
        <w:tc>
          <w:tcPr>
            <w:tcW w:type="dxa" w:w="464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화면 → 사용자 인증·권한 → DB/API → 확인·활용</w:t>
            </w:r>
          </w:p>
        </w:tc>
        <w:tc>
          <w:tcPr>
            <w:tcW w:type="dxa" w:w="328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서비스별 필요한 최소 데이터와 보관·권한 범위를 합의</w:t>
            </w:r>
          </w:p>
        </w:tc>
      </w:tr>
      <w:tr>
        <w:trPr>
          <w:cantSplit/>
        </w:trPr>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AI 기능 선택 적용</w:t>
            </w:r>
          </w:p>
        </w:tc>
        <w:tc>
          <w:tcPr>
            <w:tcW w:type="dxa" w:w="464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허용 자료 → 서버 측 API 호출 → 초안 → 사람 검토</w:t>
            </w:r>
          </w:p>
        </w:tc>
        <w:tc>
          <w:tcPr>
            <w:tcW w:type="dxa" w:w="328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대량 수집·민감자료 전송·최종 의사결정 자동화를 기본안으로 두지 않음</w:t>
            </w:r>
          </w:p>
        </w:tc>
      </w:tr>
    </w:tbl>
    <w:p>
      <w:pPr>
        <w:spacing w:after="0" w:line="40" w:lineRule="exact"/>
      </w:pPr>
      <w:r>
        <w:rPr>
          <w:sz w:val="4"/>
        </w:rPr>
      </w:r>
    </w:p>
    <w:p>
      <w:pPr>
        <w:pStyle w:val="Heading1"/>
      </w:pPr>
      <w:r>
        <w:t>개발 보조와 실제 서비스 AI의 구별</w:t>
      </w:r>
    </w:p>
    <w:p>
      <w:r>
        <w:t>개발 보조 AI는 검증용 예제·비식별 자료로 코드와 기능 설계를 지원한다. 도구를 개발할 때 AI를 사용했다는 이유로 배포 서비스에 AI API가 필수인 것은 아니다. 실제 업무자료가 외부 AI 서비스로 전송되는 기능은 자료 취급 범위와 운영 비용을 별도로 검토한다.</w:t>
      </w:r>
    </w:p>
    <w:p>
      <w:pPr>
        <w:pStyle w:val="Heading1"/>
      </w:pPr>
      <w:r>
        <w:t>계정과 비밀키 관리</w:t>
      </w:r>
    </w:p>
    <w:p>
      <w:r>
        <w:t>기관이 소유하는 계정·저장소·도메인과 담당자별 접근권한을 관리한다. AI API나 DB의 높은 권한 비밀키는 브라우저·배포 파일·공개 저장소에 넣지 않고 서버 측에서 보관·사용한다. 공개용 키와 사용자 인증은 구별하고 DB 접근 정책으로 허용 범위를 제한한다. 개발·검증 자료와 운영 자료를 구별한다. [W01·W02]</w:t>
      </w:r>
    </w:p>
    <w:p>
      <w:r>
        <w:t>특정 플랫폼·요금제는 확정하지 않는다. 이미 쓰는 제품은 공식 문서와 현재 설정을 확인해 변경 영향을 검증하며, 신규 기능을 위해 무조건 계정을 늘리지 않는다.</w:t>
      </w:r>
    </w:p>
    <w:p>
      <w:r>
        <w:br w:type="page"/>
      </w:r>
    </w:p>
    <w:p>
      <w:pPr>
        <w:pStyle w:val="Heading1"/>
      </w:pPr>
      <w:r>
        <w:t>연중 운영과 인수인계</w:t>
      </w:r>
    </w:p>
    <w:p>
      <w:r>
        <w:t>서비스 대장에는 서비스명·목적·단계·운영 범위·자료·기관 소유 계정·운영/대체 담당·비용·갱신일·변경/복원 기록을 둔다. 중단된 시제품과 운영 중 서비스는 분리해 관리한다.</w:t>
      </w:r>
    </w:p>
    <w:tbl>
      <w:tblPr>
        <w:tblW w:type="auto" w:w="0"/>
        <w:jc w:val="center"/>
        <w:tblLayout w:type="fixed"/>
        <w:tblLook w:firstColumn="1" w:firstRow="1" w:lastColumn="0" w:lastRow="0" w:noHBand="0" w:noVBand="1" w:val="04A0"/>
      </w:tblPr>
      <w:tblGrid>
        <w:gridCol w:w="2098"/>
        <w:gridCol w:w="4989"/>
        <w:gridCol w:w="2778"/>
      </w:tblGrid>
      <w:tr>
        <w:trPr>
          <w:cantSplit/>
          <w:tblHeader/>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시점 제안</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확인 활동</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남길 근거</w:t>
            </w:r>
          </w:p>
        </w:tc>
      </w:tr>
      <w:tr>
        <w:trPr>
          <w:cantSplit/>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변경·배포 전</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검증 예제·예외·권한·저장 결과, 영향 범위와 복구 방법</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배포 버전, 확인자, 변경·복구 기록</w:t>
            </w:r>
          </w:p>
        </w:tc>
      </w:tr>
      <w:tr>
        <w:trPr>
          <w:cantSplit/>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운영 서비스 주간 확인</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문의·오류·저장 상태 확인; 소규모 로컬 도구는 사용 주기에 맞춤</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문의와 조치 기록</w:t>
            </w:r>
          </w:p>
        </w:tc>
      </w:tr>
      <w:tr>
        <w:trPr>
          <w:cantSplit/>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월별 확인</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사용량·비용·갱신·권한 변경·백업 실행 확인</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월별 운영 체크 기록</w:t>
            </w:r>
          </w:p>
        </w:tc>
      </w:tr>
      <w:tr>
        <w:trPr>
          <w:cantSplit/>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업무 마감·중요 변경</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로컬 파일 백업, DB 등 위험·데이터 변화에 맞춘 백업</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백업 위치·실행 결과·접근권한</w:t>
            </w:r>
          </w:p>
        </w:tc>
      </w:tr>
      <w:tr>
        <w:trPr>
          <w:cantSplit/>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분기 제안·담당 변경 전</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격리된 환경에서 실제 복원과 대체 담당 실행 실습</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복원·대체 수행 결과·실제 소요시간</w:t>
            </w:r>
          </w:p>
        </w:tc>
      </w:tr>
      <w:tr>
        <w:trPr>
          <w:cantSplit/>
        </w:trPr>
        <w:tc>
          <w:tcPr>
            <w:tcW w:type="dxa" w:w="20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6월·12월</w:t>
            </w:r>
          </w:p>
        </w:tc>
        <w:tc>
          <w:tcPr>
            <w:tcW w:type="dxa" w:w="4989"/>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서비스 계속 운영·보완·재사용·중단·보관 판단</w:t>
            </w:r>
          </w:p>
        </w:tc>
        <w:tc>
          <w:tcPr>
            <w:tcW w:type="dxa" w:w="277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점검 결과와 다음 개선과제</w:t>
            </w:r>
          </w:p>
        </w:tc>
      </w:tr>
    </w:tbl>
    <w:p>
      <w:pPr>
        <w:spacing w:after="0" w:line="40" w:lineRule="exact"/>
      </w:pPr>
      <w:r>
        <w:rPr>
          <w:sz w:val="4"/>
        </w:rPr>
      </w:r>
    </w:p>
    <w:p>
      <w:pPr>
        <w:pStyle w:val="Heading1"/>
      </w:pPr>
      <w:r>
        <w:t>장애와 사용지원</w:t>
      </w:r>
    </w:p>
    <w:p>
      <w:r>
        <w:t>운영 담당은 운영시간 내 문의를 접수·분류하고, 자료 손실·권한 오작동은 확대 사용을 중지한 뒤 담당 기능과 조치한다. 안내된 수기·기존 절차 등 대체 방법으로 업무를 이어간다. 해결·복구 뒤 현업 담당이 결과를 확인하고 변경 사항을 알린다. 중대 장애 대응시간·복구목표는 서비스별 위험과 가용 인력에 맞춰 별도 합의한다.</w:t>
      </w:r>
    </w:p>
    <w:p>
      <w:r>
        <w:t>백업 파일이 있다는 사실만으로 복구 가능성을 확정하지 않는다. 서버 DB, 업로드 파일, 설정·코드, 로컬 저장자료 각각의 복원 범위를 확인한다. 비밀정보 접근은 필요한 역할로 제한하며 복원 절차를 주기적으로 시험하는 방향을 적용한다. [W02]</w:t>
      </w:r>
    </w:p>
    <w:p>
      <w:r>
        <w:br w:type="page"/>
      </w:r>
    </w:p>
    <w:p>
      <w:pPr>
        <w:pStyle w:val="Heading1"/>
      </w:pPr>
      <w:r>
        <w:t>예산과 성과 확인</w:t>
      </w:r>
    </w:p>
    <w:p>
      <w:r>
        <w:t>L08의 2027년 예산요구액 12,000천원을 기준으로 다음 배분 가안을 제안한다. 실제 청구·사용량·갱신과 승인금액 확인 후 기존 운영비를 먼저 확보하고 나머지 도구·API·예비액을 조정한다. 이 금액은 제품 견적이나 확정 계약비가 아니다.</w:t>
      </w:r>
    </w:p>
    <w:tbl>
      <w:tblPr>
        <w:tblW w:type="auto" w:w="0"/>
        <w:jc w:val="center"/>
        <w:tblLayout w:type="fixed"/>
        <w:tblLook w:firstColumn="1" w:firstRow="1" w:lastColumn="0" w:lastRow="0" w:noHBand="0" w:noVBand="1" w:val="04A0"/>
      </w:tblPr>
      <w:tblGrid>
        <w:gridCol w:w="2891"/>
        <w:gridCol w:w="850"/>
        <w:gridCol w:w="1928"/>
        <w:gridCol w:w="4195"/>
      </w:tblGrid>
      <w:tr>
        <w:trPr>
          <w:cantSplit/>
          <w:tblHeader/>
        </w:trPr>
        <w:tc>
          <w:tcPr>
            <w:tcW w:type="dxa" w:w="28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항목</w:t>
            </w:r>
          </w:p>
        </w:tc>
        <w:tc>
          <w:tcPr>
            <w:tcW w:type="dxa" w:w="8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비율</w:t>
            </w:r>
          </w:p>
        </w:tc>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배분 가안</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사용 판단</w:t>
            </w:r>
          </w:p>
        </w:tc>
      </w:tr>
      <w:tr>
        <w:trPr>
          <w:cantSplit/>
        </w:trPr>
        <w:tc>
          <w:tcPr>
            <w:tcW w:type="dxa" w:w="28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개발 도구·AI API</w:t>
            </w:r>
          </w:p>
        </w:tc>
        <w:tc>
          <w:tcPr>
            <w:tcW w:type="dxa" w:w="8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40%</w:t>
            </w:r>
          </w:p>
        </w:tc>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4,800,000원</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개발 참여자 중심 계정·필요 기능 API</w:t>
            </w:r>
          </w:p>
        </w:tc>
      </w:tr>
      <w:tr>
        <w:trPr>
          <w:cantSplit/>
        </w:trPr>
        <w:tc>
          <w:tcPr>
            <w:tcW w:type="dxa" w:w="28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기존 서비스 클라우드·DB 운영</w:t>
            </w:r>
          </w:p>
        </w:tc>
        <w:tc>
          <w:tcPr>
            <w:tcW w:type="dxa" w:w="8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30%</w:t>
            </w:r>
          </w:p>
        </w:tc>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3,600,000원</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운영 서비스의 계약·유지관리 우선</w:t>
            </w:r>
          </w:p>
        </w:tc>
      </w:tr>
      <w:tr>
        <w:trPr>
          <w:cantSplit/>
        </w:trPr>
        <w:tc>
          <w:tcPr>
            <w:tcW w:type="dxa" w:w="28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도메인·서드파티·백업</w:t>
            </w:r>
          </w:p>
        </w:tc>
        <w:tc>
          <w:tcPr>
            <w:tcW w:type="dxa" w:w="8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10%</w:t>
            </w:r>
          </w:p>
        </w:tc>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1,200,000원</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실제 서비스 필요와 복원 가능성 확인</w:t>
            </w:r>
          </w:p>
        </w:tc>
      </w:tr>
      <w:tr>
        <w:trPr>
          <w:cantSplit/>
        </w:trPr>
        <w:tc>
          <w:tcPr>
            <w:tcW w:type="dxa" w:w="289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사용량 증가·요금 변동 예비</w:t>
            </w:r>
          </w:p>
        </w:tc>
        <w:tc>
          <w:tcPr>
            <w:tcW w:type="dxa" w:w="850"/>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20%</w:t>
            </w:r>
          </w:p>
        </w:tc>
        <w:tc>
          <w:tcPr>
            <w:tcW w:type="dxa" w:w="192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2,400,000원</w:t>
            </w:r>
          </w:p>
        </w:tc>
        <w:tc>
          <w:tcPr>
            <w:tcW w:type="dxa" w:w="4195"/>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월별 점검 후 필요 항목으로 재배분</w:t>
            </w:r>
          </w:p>
        </w:tc>
      </w:tr>
    </w:tbl>
    <w:p>
      <w:pPr>
        <w:spacing w:after="0" w:line="40" w:lineRule="exact"/>
      </w:pPr>
      <w:r>
        <w:rPr>
          <w:sz w:val="4"/>
        </w:rPr>
      </w:r>
    </w:p>
    <w:p>
      <w:r>
        <w:t>합계 12,000,000원. 내부 인력의 업무시간·장비·외부 점검 등 추가 필요는 별도 산정하며 기존 예산으로 해결된다고 가정하지 않는다. 운영 담당이 월별 비용·잔여액·갱신을 확인하고 예상 초과 시 사용량 조정과 구매 필요를 주관 기능에 협의한다.</w:t>
      </w:r>
    </w:p>
    <w:tbl>
      <w:tblPr>
        <w:tblW w:type="auto" w:w="0"/>
        <w:jc w:val="center"/>
        <w:tblLayout w:type="fixed"/>
        <w:tblLook w:firstColumn="1" w:firstRow="1" w:lastColumn="0" w:lastRow="0" w:noHBand="0" w:noVBand="1" w:val="04A0"/>
      </w:tblPr>
      <w:tblGrid>
        <w:gridCol w:w="2154"/>
        <w:gridCol w:w="3798"/>
        <w:gridCol w:w="3912"/>
      </w:tblGrid>
      <w:tr>
        <w:trPr>
          <w:cantSplit/>
          <w:tblHeader/>
        </w:trPr>
        <w:tc>
          <w:tcPr>
            <w:tcW w:type="dxa" w:w="215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측정 항목</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분모와 방법</w:t>
            </w:r>
          </w:p>
        </w:tc>
        <w:tc>
          <w:tcPr>
            <w:tcW w:type="dxa" w:w="391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목표 또는 확인 시점</w:t>
            </w:r>
          </w:p>
        </w:tc>
      </w:tr>
      <w:tr>
        <w:trPr>
          <w:cantSplit/>
        </w:trPr>
        <w:tc>
          <w:tcPr>
            <w:tcW w:type="dxa" w:w="215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운영 책임 지정률</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운영·대체 담당 지정 서비스 / 관리대장 내 운영 서비스</w:t>
            </w:r>
          </w:p>
        </w:tc>
        <w:tc>
          <w:tcPr>
            <w:tcW w:type="dxa" w:w="391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2월 관리범위를 고정하고 100%를 관리 목표로 제안</w:t>
            </w:r>
          </w:p>
        </w:tc>
      </w:tr>
      <w:tr>
        <w:trPr>
          <w:cantSplit/>
        </w:trPr>
        <w:tc>
          <w:tcPr>
            <w:tcW w:type="dxa" w:w="215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배포 준비 확인률</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배포 조건 확인 완료 / 신규·변경 배포 건</w:t>
            </w:r>
          </w:p>
        </w:tc>
        <w:tc>
          <w:tcPr>
            <w:tcW w:type="dxa" w:w="391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배포 전 100% 확인을 제안. 한 건도 미확인 상태로 완료 처리하지 않음</w:t>
            </w:r>
          </w:p>
        </w:tc>
      </w:tr>
      <w:tr>
        <w:trPr>
          <w:cantSplit/>
        </w:trPr>
        <w:tc>
          <w:tcPr>
            <w:tcW w:type="dxa" w:w="215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실사용·반복 사용</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실사용자 / 적용 대상자; 두 번 이상 실제 업무 수행 / 실사용자</w:t>
            </w:r>
          </w:p>
        </w:tc>
        <w:tc>
          <w:tcPr>
            <w:tcW w:type="dxa" w:w="391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배포 후 4주 또는 업무 1주기 중 긴 기간. 목표율은 3월 기준선 후 설정</w:t>
            </w:r>
          </w:p>
        </w:tc>
      </w:tr>
      <w:tr>
        <w:trPr>
          <w:cantSplit/>
        </w:trPr>
        <w:tc>
          <w:tcPr>
            <w:tcW w:type="dxa" w:w="215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시간·오류 변화</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같은 작업범위 처리시간과 오류·재작업 건수의 전후 비교</w:t>
            </w:r>
          </w:p>
        </w:tc>
        <w:tc>
          <w:tcPr>
            <w:tcW w:type="dxa" w:w="391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반복 측정 3회 이상 권장. 평균·범위·조건 기록. 전사 일반화 금지</w:t>
            </w:r>
          </w:p>
        </w:tc>
      </w:tr>
      <w:tr>
        <w:trPr>
          <w:cantSplit/>
        </w:trPr>
        <w:tc>
          <w:tcPr>
            <w:tcW w:type="dxa" w:w="2154"/>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재사용·운영 지속</w:t>
            </w:r>
          </w:p>
        </w:tc>
        <w:tc>
          <w:tcPr>
            <w:tcW w:type="dxa" w:w="3798"/>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타부서 시험·실사용을 구분; 복원·대체 담당 수행 기록</w:t>
            </w:r>
          </w:p>
        </w:tc>
        <w:tc>
          <w:tcPr>
            <w:tcW w:type="dxa" w:w="391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도구 숫자와 별도 집계. 6월·12월에 유지·보완·중단 결정</w:t>
            </w:r>
          </w:p>
        </w:tc>
      </w:tr>
    </w:tbl>
    <w:p>
      <w:pPr>
        <w:spacing w:after="0" w:line="40" w:lineRule="exact"/>
      </w:pPr>
      <w:r>
        <w:rPr>
          <w:sz w:val="4"/>
        </w:rPr>
      </w:r>
    </w:p>
    <w:p>
      <w:r>
        <w:t>관리 목표 100%는 책임·배포 절차의 준수 목표이고 업무 효과 달성률이 아니다. 신규 도구 수·교육 참석자 수·만족도·실사용·시간 실측을 서로 구별한다. 2026년 조사와 소표본 실습 결과를 2027년 효과로 승계하지 않는다.</w:t>
      </w:r>
    </w:p>
    <w:p>
      <w:r>
        <w:br w:type="page"/>
      </w:r>
    </w:p>
    <w:p>
      <w:pPr>
        <w:pStyle w:val="Heading1"/>
      </w:pPr>
      <w:r>
        <w:t>연간 실행과 시작 전 결정</w:t>
      </w:r>
    </w:p>
    <w:tbl>
      <w:tblPr>
        <w:tblW w:type="auto" w:w="0"/>
        <w:jc w:val="center"/>
        <w:tblLayout w:type="fixed"/>
        <w:tblLook w:firstColumn="1" w:firstRow="1" w:lastColumn="0" w:lastRow="0" w:noHBand="0" w:noVBand="1" w:val="04A0"/>
      </w:tblPr>
      <w:tblGrid>
        <w:gridCol w:w="1531"/>
        <w:gridCol w:w="5272"/>
        <w:gridCol w:w="3061"/>
      </w:tblGrid>
      <w:tr>
        <w:trPr>
          <w:cantSplit/>
          <w:tblHeader/>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jc w:val="center"/>
            </w:pPr>
            <w:r>
              <w:rPr>
                <w:b/>
                <w:sz w:val="20"/>
              </w:rPr>
              <w:t>시기</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원문 일정과 연결한 추가 제안</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DDE8F0"/>
          </w:tcPr>
          <w:p>
            <w:pPr>
              <w:spacing w:after="40" w:line="252" w:lineRule="auto"/>
            </w:pPr>
            <w:r>
              <w:rPr>
                <w:b/>
                <w:sz w:val="20"/>
              </w:rPr>
              <w:t>완료 자료</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1~2월</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운영 서비스·소유·계정·비용·권한 정리, 예산·역할 협의</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관리대장·책임/예산 가안</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2~3월</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수요·과제카드, 2기 참여 선정, 착수 조건 확인</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선정 이유·팀 역할·시간 확보</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3~5월</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첫 시범 8주 제작과 실제 업무 시험·사용 지원</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검증 기록·배포 또는 보완 결정</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6월</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운영·활용·업무 변화 점검, 다음 차수 조정</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범위·일정·예산 재조정</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7~10월</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여력과 조건을 충족한 다음 시범·재사용·현장 적용</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사용지원·반복 사용 기록</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jc w:val="center"/>
            </w:pPr>
            <w:r>
              <w:rPr>
                <w:b w:val="0"/>
                <w:sz w:val="20"/>
              </w:rPr>
              <w:t>11~12월</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운영 인계·복원·대체 실습, 성과·차년도 환류</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5F7F9"/>
          </w:tcPr>
          <w:p>
            <w:pPr>
              <w:spacing w:after="40" w:line="252" w:lineRule="auto"/>
            </w:pPr>
            <w:r>
              <w:rPr>
                <w:b w:val="0"/>
                <w:sz w:val="20"/>
              </w:rPr>
              <w:t>운영 문서·12월 점검</w:t>
            </w:r>
          </w:p>
        </w:tc>
      </w:tr>
      <w:tr>
        <w:trPr>
          <w:cantSplit/>
        </w:trPr>
        <w:tc>
          <w:tcPr>
            <w:tcW w:type="dxa" w:w="153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jc w:val="center"/>
            </w:pPr>
            <w:r>
              <w:rPr>
                <w:b w:val="0"/>
                <w:sz w:val="20"/>
              </w:rPr>
              <w:t>연중</w:t>
            </w:r>
          </w:p>
        </w:tc>
        <w:tc>
          <w:tcPr>
            <w:tcW w:type="dxa" w:w="5272"/>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기존 서비스 유지관리, 비용·권한·백업, 업무별 실습</w:t>
            </w:r>
          </w:p>
        </w:tc>
        <w:tc>
          <w:tcPr>
            <w:tcW w:type="dxa" w:w="3061"/>
            <w:vAlign w:val="center"/>
            <w:tcBorders>
              <w:top w:val="single" w:sz="4" w:color="D9D9D9"/>
              <w:left w:val="single" w:sz="4" w:color="D9D9D9"/>
              <w:bottom w:val="single" w:sz="4" w:color="D9D9D9"/>
              <w:right w:val="single" w:sz="4" w:color="D9D9D9"/>
            </w:tcBorders>
            <w:tcMar>
              <w:top w:w="45" w:type="dxa"/>
              <w:bottom w:w="45" w:type="dxa"/>
              <w:left w:w="90" w:type="dxa"/>
              <w:right w:w="90" w:type="dxa"/>
            </w:tcMar>
            <w:shd w:fill="FFFFFF"/>
          </w:tcPr>
          <w:p>
            <w:pPr>
              <w:spacing w:after="40" w:line="252" w:lineRule="auto"/>
            </w:pPr>
            <w:r>
              <w:rPr>
                <w:b w:val="0"/>
                <w:sz w:val="20"/>
              </w:rPr>
              <w:t>월별 기록·문의와 조치</w:t>
            </w:r>
          </w:p>
        </w:tc>
      </w:tr>
    </w:tbl>
    <w:p>
      <w:pPr>
        <w:spacing w:after="0" w:line="40" w:lineRule="exact"/>
      </w:pPr>
      <w:r>
        <w:rPr>
          <w:sz w:val="4"/>
        </w:rPr>
      </w:r>
    </w:p>
    <w:p>
      <w:r>
        <w:t>첫 실행 전에 운영 주관과 협의 기능, 실제 관리할 서비스 범위, 참여자의 확보 업무시간, 1차 과제·시범 대상, 기관 소유 계정·자료 취급 범위, 승인 예산과 구매 우선순위를 결정한다. 서식 변경이나 새로운 자료처리는 담당 업무의 기존 협의·승인 절차에 맞춰 진행한다.</w:t>
      </w:r>
    </w:p>
    <w:p>
      <w:pPr>
        <w:pStyle w:val="Heading1"/>
      </w:pPr>
      <w:r>
        <w:t>근거 자료</w:t>
      </w:r>
    </w:p>
    <w:p>
      <w:r>
        <w:rPr>
          <w:sz w:val="16"/>
        </w:rPr>
        <w:t>L08 2027년 예산편성 세부사업계획안 8월 21일</w:t>
      </w:r>
    </w:p>
    <w:p>
      <w:r>
        <w:rPr>
          <w:sz w:val="16"/>
        </w:rPr>
        <w:t>L04 수입 지출 업무혁신 프로젝트 운영계획</w:t>
      </w:r>
    </w:p>
    <w:p>
      <w:r>
        <w:rPr>
          <w:sz w:val="16"/>
        </w:rPr>
        <w:t>L06 월간 업무보고 자동화 추진 경과와 결과</w:t>
      </w:r>
    </w:p>
    <w:p>
      <w:r>
        <w:rPr>
          <w:sz w:val="16"/>
        </w:rPr>
        <w:t>N04 일쉼지원센터 김숙희 제출 사례</w:t>
      </w:r>
    </w:p>
    <w:p>
      <w:r>
        <w:rPr>
          <w:sz w:val="16"/>
        </w:rPr>
        <w:t>N17 6월 회의록과 구글 활용 콘텐츠 제작팀</w:t>
      </w:r>
    </w:p>
    <w:p>
      <w:r>
        <w:t>W01 Supabase 공식 API keys: https://supabase.com/docs/guides/getting-started/api-keys</w:t>
      </w:r>
    </w:p>
    <w:p>
      <w:r>
        <w:t>W02 OWASP Secrets Management Cheat Sheet: https://cheatsheetseries.owasp.org/cheatsheets/Secrets_Management_Cheat_Sheet.html</w:t>
      </w:r>
    </w:p>
    <w:p>
      <w:r>
        <w:t>내부 원문은 2027년 방향과 2026년 경험을 뒷받침한다. 외부 공식 문서는 비밀키의 사용 위치·최소 권한·복원 시험에 한정해 보완했다. 5종 그림과 후보별 출처 대조표는 이 폴더에 함께 제공한다.</w:t>
      </w:r>
    </w:p>
    <w:p>
      <w:pPr>
        <w:sectPr>
          <w:footerReference w:type="default" r:id="rId9"/>
          <w:pgSz w:w="11906" w:h="16838"/>
          <w:pgMar w:top="964" w:right="1020" w:bottom="935" w:left="1020" w:header="720" w:footer="720" w:gutter="0"/>
          <w:cols w:space="720"/>
          <w:docGrid w:linePitch="360"/>
        </w:sectPr>
      </w:pPr>
    </w:p>
    <w:p>
      <w:pPr>
        <w:spacing w:after="0" w:before="0" w:line="240" w:lineRule="auto"/>
        <w:jc w:val="center"/>
      </w:pPr>
      <w:r>
        <w:drawing>
          <wp:inline xmlns:a="http://schemas.openxmlformats.org/drawingml/2006/main" xmlns:pic="http://schemas.openxmlformats.org/drawingml/2006/picture">
            <wp:extent cx="8928000" cy="6137999"/>
            <wp:docPr id="1" name="Picture 1"/>
            <wp:cNvGraphicFramePr>
              <a:graphicFrameLocks noChangeAspect="1"/>
            </wp:cNvGraphicFramePr>
            <a:graphic>
              <a:graphicData uri="http://schemas.openxmlformats.org/drawingml/2006/picture">
                <pic:pic>
                  <pic:nvPicPr>
                    <pic:cNvPr id="0" name="01_2027_AX챌린저_구성도.png"/>
                    <pic:cNvPicPr/>
                  </pic:nvPicPr>
                  <pic:blipFill>
                    <a:blip r:embed="rId10"/>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2" name="Picture 2"/>
            <wp:cNvGraphicFramePr>
              <a:graphicFrameLocks noChangeAspect="1"/>
            </wp:cNvGraphicFramePr>
            <a:graphic>
              <a:graphicData uri="http://schemas.openxmlformats.org/drawingml/2006/picture">
                <pic:pic>
                  <pic:nvPicPr>
                    <pic:cNvPr id="0" name="02_2027_AX챌린저_아키텍처.png"/>
                    <pic:cNvPicPr/>
                  </pic:nvPicPr>
                  <pic:blipFill>
                    <a:blip r:embed="rId11"/>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3" name="Picture 3"/>
            <wp:cNvGraphicFramePr>
              <a:graphicFrameLocks noChangeAspect="1"/>
            </wp:cNvGraphicFramePr>
            <a:graphic>
              <a:graphicData uri="http://schemas.openxmlformats.org/drawingml/2006/picture">
                <pic:pic>
                  <pic:nvPicPr>
                    <pic:cNvPr id="0" name="03_2027_AX챌린저_조직도.png"/>
                    <pic:cNvPicPr/>
                  </pic:nvPicPr>
                  <pic:blipFill>
                    <a:blip r:embed="rId12"/>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4" name="Picture 4"/>
            <wp:cNvGraphicFramePr>
              <a:graphicFrameLocks noChangeAspect="1"/>
            </wp:cNvGraphicFramePr>
            <a:graphic>
              <a:graphicData uri="http://schemas.openxmlformats.org/drawingml/2006/picture">
                <pic:pic>
                  <pic:nvPicPr>
                    <pic:cNvPr id="0" name="04_2027_AX챌린저_추진체계도.png"/>
                    <pic:cNvPicPr/>
                  </pic:nvPicPr>
                  <pic:blipFill>
                    <a:blip r:embed="rId13"/>
                    <a:stretch>
                      <a:fillRect/>
                    </a:stretch>
                  </pic:blipFill>
                  <pic:spPr>
                    <a:xfrm>
                      <a:off x="0" y="0"/>
                      <a:ext cx="8928000" cy="6137999"/>
                    </a:xfrm>
                    <a:prstGeom prst="rect"/>
                  </pic:spPr>
                </pic:pic>
              </a:graphicData>
            </a:graphic>
          </wp:inline>
        </w:drawing>
      </w:r>
    </w:p>
    <w:p>
      <w:r>
        <w:br w:type="page"/>
      </w:r>
    </w:p>
    <w:p>
      <w:pPr>
        <w:spacing w:after="0" w:before="0" w:line="240" w:lineRule="auto"/>
        <w:jc w:val="center"/>
      </w:pPr>
      <w:r>
        <w:drawing>
          <wp:inline xmlns:a="http://schemas.openxmlformats.org/drawingml/2006/main" xmlns:pic="http://schemas.openxmlformats.org/drawingml/2006/picture">
            <wp:extent cx="8928000" cy="6137999"/>
            <wp:docPr id="5" name="Picture 5"/>
            <wp:cNvGraphicFramePr>
              <a:graphicFrameLocks noChangeAspect="1"/>
            </wp:cNvGraphicFramePr>
            <a:graphic>
              <a:graphicData uri="http://schemas.openxmlformats.org/drawingml/2006/picture">
                <pic:pic>
                  <pic:nvPicPr>
                    <pic:cNvPr id="0" name="05_2027_AX챌린저_로드맵.png"/>
                    <pic:cNvPicPr/>
                  </pic:nvPicPr>
                  <pic:blipFill>
                    <a:blip r:embed="rId14"/>
                    <a:stretch>
                      <a:fillRect/>
                    </a:stretch>
                  </pic:blipFill>
                  <pic:spPr>
                    <a:xfrm>
                      <a:off x="0" y="0"/>
                      <a:ext cx="8928000" cy="6137999"/>
                    </a:xfrm>
                    <a:prstGeom prst="rect"/>
                  </pic:spPr>
                </pic:pic>
              </a:graphicData>
            </a:graphic>
          </wp:inline>
        </w:drawing>
      </w:r>
    </w:p>
    <w:sectPr w:rsidR="00FC693F" w:rsidRPr="0006063C" w:rsidSect="00034616">
      <w:pgSz w:w="16838" w:h="11906" w:orient="landscape"/>
      <w:pgMar w:top="794" w:right="1049" w:bottom="794" w:left="1049" w:header="720"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2027 AX 실행 설계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맑은 고딕" w:hAnsi="맑은 고딕" w:eastAsia="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AX 챌린저 실행 설계 제안</dc:title>
  <dc:subject/>
  <dc:creator>전략경영실 전략기획부</dc:creator>
  <cp:keywords/>
  <dc:description>generated by python-docx</dc:description>
  <cp:lastModifiedBy/>
  <cp:revision>1</cp:revision>
  <dcterms:created xsi:type="dcterms:W3CDTF">2013-12-23T23:15:00Z</dcterms:created>
  <dcterms:modified xsi:type="dcterms:W3CDTF">2013-12-23T23:15:00Z</dcterms:modified>
  <cp:category/>
</cp:coreProperties>
</file>