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F3864"/>
          <w:sz w:val="38"/>
          <w:szCs w:val="38"/>
        </w:rPr>
        <w:t xml:space="preserve">Диагностика асинхронного двигателя ZZU-MCC5</w:t>
      </w:r>
    </w:p>
    <w:p>
      <w:pPr>
        <w:spacing w:after="80"/>
        <w:jc w:val="center"/>
      </w:pPr>
      <w:r>
        <w:rPr>
          <w:b/>
          <w:bCs/>
          <w:color w:val="2E5A88"/>
          <w:sz w:val="30"/>
          <w:szCs w:val="30"/>
        </w:rPr>
        <w:t xml:space="preserve">Блок 2 — Обрыв стержня ротора (чистый класс)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Подробный отчёт: физика, метод, результаты по 12 файлам</w:t>
      </w:r>
    </w:p>
    <w:p>
      <w:pPr>
        <w:spacing w:after="1200"/>
        <w:jc w:val="center"/>
      </w:pPr>
      <w:r>
        <w:rPr>
          <w:color w:val="333333"/>
          <w:sz w:val="20"/>
          <w:szCs w:val="20"/>
        </w:rPr>
        <w:t xml:space="preserve">Скрипты: broken_bar_analyze.py, broken_bar_visualize.py. Класс Broken_Bar (только тяжёлый дефект, H), оба протокола, сетка 2 нагрузки × 3 скорости.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О чём этот отчёт</w:t>
      </w:r>
    </w:p>
    <w:p>
      <w:pPr>
        <w:spacing w:after="130" w:line="278"/>
      </w:pPr>
      <w:r>
        <w:rPr>
          <w:sz w:val="22"/>
          <w:szCs w:val="22"/>
        </w:rPr>
        <w:t xml:space="preserve">Это второй блок исследования. В первом мы построили базу нормы (health) — эталон исправного двигателя. Теперь ищем первый настоящий дефект: ОБРЫВ СТЕРЖНЯ РОТОРА. Задача — научиться уверенно распознавать его сигнатуру, отделить от других дефектов и понять, где он различим, а где тонет в шуме.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Почему обрыв стержня — первый. </w:t>
      </w:r>
      <w:r>
        <w:rPr>
          <w:sz w:val="22"/>
          <w:szCs w:val="22"/>
        </w:rPr>
        <w:t xml:space="preserve">Он ловится по одному каналу (ток), у него чёткая частотная подпись, и он позволяет закрыть вопрос, оставшийся открытым в health: как строить порог тревоги, если фоновый уровень плохо переносится между двумя режимами стенда. Ответ — самодостаточный индикатор — мы здесь построим и докажем на данных.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Что наследуем из health (не переделываем): </w:t>
      </w:r>
      <w:r>
        <w:rPr>
          <w:sz w:val="22"/>
          <w:szCs w:val="22"/>
        </w:rPr>
        <w:t xml:space="preserve">опознание каналов по форме сигнала (ток — три фазы, вибрация — три оси, канал-счётчик времени отброшен, момента в данных нет); детектор устойчивых участков; расчёт частоты и скольжения по-полочно; фиксированное число полюсов (2). И один готовый инструмент — измерение скольжения как замены отсутствующего канала момента.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Физика обрыва стержня — что происходит и что мы ищем</w:t>
      </w:r>
    </w:p>
    <w:p>
      <w:pPr>
        <w:spacing w:after="130" w:line="278"/>
      </w:pPr>
      <w:r>
        <w:rPr>
          <w:sz w:val="22"/>
          <w:szCs w:val="22"/>
        </w:rPr>
        <w:t xml:space="preserve">Ротор асинхронного двигателя с короткозамкнутой обмоткой («беличья клетка») — это набор проводящих стержней, соединённых кольцами. По ним текут наведённые токи, создающие вращающий момент. Если один стержень трескается или обрывается, симметрия клетки нарушается.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Цепочка физики: </w:t>
      </w:r>
      <w:r>
        <w:rPr>
          <w:sz w:val="22"/>
          <w:szCs w:val="22"/>
        </w:rPr>
        <w:t xml:space="preserve">обрыв стержня → несимметрия токов ротора → появляется дополнительное магнитное поле, вращающееся НАЗАД относительно ротора → оно наводит в обмотке статора (а значит, в потребляемом токе) новые составляющие на частотах чуть ниже и чуть выше основной. Это и есть БОКОВЫЕ ПОЛОСЫ — главный признак дефекта.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Формула сигнатуры: </w:t>
      </w:r>
      <w:r>
        <w:rPr>
          <w:rFonts w:ascii="Consolas" w:cs="Consolas" w:eastAsia="Consolas" w:hAnsi="Consolas"/>
          <w:b/>
          <w:bCs/>
          <w:color w:val="1a3a6a"/>
          <w:sz w:val="20"/>
          <w:szCs w:val="20"/>
        </w:rPr>
        <w:t xml:space="preserve">f = f1·(1 ± 2k·s)</w:t>
      </w:r>
      <w:r>
        <w:rPr>
          <w:sz w:val="22"/>
          <w:szCs w:val="22"/>
        </w:rPr>
        <w:t xml:space="preserve">,  где f1 — частота питания, s — скольжение, k = 1, 2, 3… — номер гармоники. Расшифровка каждой величины — в словаре (раздел 3). Практический смысл: вокруг основной линии тока f1 симметрично появляется «гребёнка» полос. Первая пара отстоит от f1 на 2·s·f1, вторая — на 4·s·f1, третья — на 6·s·f1.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Три свойства, из которых растут все наши проверки: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Полосы СЛЕДУЮТ за скольжением. </w:t>
      </w:r>
      <w:r>
        <w:rPr>
          <w:sz w:val="22"/>
          <w:szCs w:val="22"/>
        </w:rPr>
        <w:t xml:space="preserve">Их положение жёстко задаётся измеренным s. Настоящий обрыв всегда сидит точно там, где предсказывает скольжение; случайный пик — нет. Это и есть подпись дефекта.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Сила зависит от нагрузки. </w:t>
      </w:r>
      <w:r>
        <w:rPr>
          <w:sz w:val="22"/>
          <w:szCs w:val="22"/>
        </w:rPr>
        <w:t xml:space="preserve">Под нагрузкой скольжение больше → полосы дальше от f1 и выше по амплитуде → легче различимы. На холостом ходу скольжение → 0, полосы схлопываются в f1 и исчезают.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Гребёнка подтверждает. </w:t>
      </w:r>
      <w:r>
        <w:rPr>
          <w:sz w:val="22"/>
          <w:szCs w:val="22"/>
        </w:rPr>
        <w:t xml:space="preserve">Если видна вся серия (k=1, 2, 3), а не одиночный пик — это почти наверняка обрыв: случайная помеха не выстроится в правильную гребёнку.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Словарь терминов и аббревиатур</w:t>
      </w:r>
    </w:p>
    <w:p>
      <w:pPr>
        <w:spacing w:after="130" w:line="278"/>
      </w:pPr>
      <w:r>
        <w:rPr>
          <w:sz w:val="22"/>
          <w:szCs w:val="22"/>
        </w:rPr>
        <w:t xml:space="preserve">Все обозначения, которые встречаются в отчёте и на диаграммах, простыми словами.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MCSA (Motor Current Signature Analysis) — </w:t>
      </w:r>
      <w:r>
        <w:rPr>
          <w:sz w:val="22"/>
          <w:szCs w:val="22"/>
        </w:rPr>
        <w:t xml:space="preserve">«анализ сигнатур по току двигателя». Метод диагностики, при котором дефект ищут не по вибрации, а по тонкой структуре потребляемого тока. Обрыв стержня — классический объект MCSA.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f1 — </w:t>
      </w:r>
      <w:r>
        <w:rPr>
          <w:sz w:val="22"/>
          <w:szCs w:val="22"/>
        </w:rPr>
        <w:t xml:space="preserve">частота питающего тока (Гц), которую задаёт частотный преобразователь. Основная линия в спектре тока. У нашей 2-полюсной машины синхронная скорость = 60·f1.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s (скольжение, slip) — </w:t>
      </w:r>
      <w:r>
        <w:rPr>
          <w:sz w:val="22"/>
          <w:szCs w:val="22"/>
        </w:rPr>
        <w:t xml:space="preserve">относительное отставание ротора от магнитного поля: s = (n_синхр − n_ротор) / n_синхр. В процентах. У асинхронного двигателя всегда больше нуля; растёт с нагрузкой. Мы используем его как замену отсутствующего канала момента — по нему читаем нагрузку.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fr — </w:t>
      </w:r>
      <w:r>
        <w:rPr>
          <w:sz w:val="22"/>
          <w:szCs w:val="22"/>
        </w:rPr>
        <w:t xml:space="preserve">оборотная частота, fr = обороты/60 (Гц). Частота одного оборота вала. На ней сидят механические дефекты (дисбаланс). Для обрыва она нужна как КОНТРОЛЬ.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2s·f1 (отступ полос) — </w:t>
      </w:r>
      <w:r>
        <w:rPr>
          <w:sz w:val="22"/>
          <w:szCs w:val="22"/>
        </w:rPr>
        <w:t xml:space="preserve">расстояние по частоте от основной линии f1 до первой боковой полосы обрыва. Чем меньше (малая нагрузка или низкая f1), тем труднее отделить полосу от f1.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LSB / USB — </w:t>
      </w:r>
      <w:r>
        <w:rPr>
          <w:sz w:val="22"/>
          <w:szCs w:val="22"/>
        </w:rPr>
        <w:t xml:space="preserve">Lower / Upper Side Band — нижняя и верхняя боковые полосы, слева и справа от f1. Нижняя (LSB) — первичный признак; верхняя (USB) слабее и зависит от инерции.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k (номер гармоники гребёнки) — </w:t>
      </w:r>
      <w:r>
        <w:rPr>
          <w:sz w:val="22"/>
          <w:szCs w:val="22"/>
        </w:rPr>
        <w:t xml:space="preserve">полосы появляются сериями: k=1 на отступе 2s·f1, k=2 на 4s·f1, k=3 на 6s·f1. Мы меряем все три.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гребёнка (comb) — </w:t>
      </w:r>
      <w:r>
        <w:rPr>
          <w:sz w:val="22"/>
          <w:szCs w:val="22"/>
        </w:rPr>
        <w:t xml:space="preserve">вся серия боковых полос k=1,2,3 вместе. Её наличие — сильное подтверждение именно обрыва.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дБ (децибел) — </w:t>
      </w:r>
      <w:r>
        <w:rPr>
          <w:sz w:val="22"/>
          <w:szCs w:val="22"/>
        </w:rPr>
        <w:t xml:space="preserve">логарифмическая мера уровня. Здесь — уровень полосы относительно основной линии f1. Например, −40 дБ означает «в сто раз слабее f1». Чем ближе к нулю, тем сильнее.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шумовой пол — </w:t>
      </w:r>
      <w:r>
        <w:rPr>
          <w:sz w:val="22"/>
          <w:szCs w:val="22"/>
        </w:rPr>
        <w:t xml:space="preserve">фоновый уровень спектра там, где нет полезных линий. Полоса дефекта должна подниматься над ним, чтобы быть замеченной.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SNR (Signal-to-Noise Ratio) — </w:t>
      </w:r>
      <w:r>
        <w:rPr>
          <w:sz w:val="22"/>
          <w:szCs w:val="22"/>
        </w:rPr>
        <w:t xml:space="preserve">«отношение сигнал/шум». Здесь — насколько пик боковой полосы выступает над своим ближайшим окружением (плечами) в том же спектре, в дБ. Наш ОСНОВНОЙ, самодостаточный индикатор.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наивный индикатор (rise) — </w:t>
      </w:r>
      <w:r>
        <w:rPr>
          <w:sz w:val="22"/>
          <w:szCs w:val="22"/>
        </w:rPr>
        <w:t xml:space="preserve">подъём уровня полосы над фоновым уровнем ИСПРАВНОГО двигателя того же режима (из health-базы). Прост, но требует калибровки между режимами — и именно на нём мы покажем проблему.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полка (рабочая точка) — </w:t>
      </w:r>
      <w:r>
        <w:rPr>
          <w:sz w:val="22"/>
          <w:szCs w:val="22"/>
        </w:rPr>
        <w:t xml:space="preserve">устойчивый участок записи, где скорость и нагрузка постоянны. Единица анализа. В speed — плато скорости; в torque — сегмент с постоянной нагрузкой.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протоколы speed / torque — </w:t>
      </w:r>
      <w:r>
        <w:rPr>
          <w:sz w:val="22"/>
          <w:szCs w:val="22"/>
        </w:rPr>
        <w:t xml:space="preserve">два профиля стенда. speed_circulation: нагрузка постоянна, скорость ступает (f1 меняется). torque_circulation: скорость постоянна, нагрузка ступает по свипу от нуля до номинала.</w:t>
      </w:r>
    </w:p>
    <w:p>
      <w:pPr>
        <w:spacing w:after="90" w:line="272"/>
      </w:pPr>
      <w:r>
        <w:rPr>
          <w:b/>
          <w:bCs/>
          <w:color w:val="2E5A88"/>
          <w:sz w:val="22"/>
          <w:szCs w:val="22"/>
        </w:rPr>
        <w:t xml:space="preserve">разрешимо / неразрешимо — </w:t>
      </w:r>
      <w:r>
        <w:rPr>
          <w:sz w:val="22"/>
          <w:szCs w:val="22"/>
        </w:rPr>
        <w:t xml:space="preserve">разрешимо — отступ полос 2s·f1 достаточно велик, чтобы отделить полосу от f1. Неразрешимо — полоса слилась с юбкой основной линии.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Метод анализа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4.1. Единица анализа — окно с устойчивым скольжением</w:t>
      </w:r>
    </w:p>
    <w:p>
      <w:pPr>
        <w:spacing w:after="130" w:line="278"/>
      </w:pPr>
      <w:r>
        <w:rPr>
          <w:sz w:val="22"/>
          <w:szCs w:val="22"/>
        </w:rPr>
        <w:t xml:space="preserve">Мы режем каждую запись на короткие окна и анализируем те, где скольжение стабильно. Это критично: если внутри окна нагрузка (а с ней скольжение) плывёт, то отступ полос едет, и полоса размазывается по частоте — сигнатура разрушается.</w:t>
      </w:r>
    </w:p>
    <w:p>
      <w:pPr>
        <w:spacing w:after="130" w:line="278"/>
      </w:pPr>
      <w:r>
        <w:rPr>
          <w:b/>
          <w:bCs/>
          <w:color w:val="9C2A2A"/>
          <w:sz w:val="22"/>
          <w:szCs w:val="22"/>
        </w:rPr>
        <w:t xml:space="preserve">Находка разведки, определившая метод. </w:t>
      </w:r>
      <w:r>
        <w:rPr>
          <w:sz w:val="22"/>
          <w:szCs w:val="22"/>
        </w:rPr>
        <w:t xml:space="preserve">В режиме torque при лёгкой нагрузке (20 Н·м) скорость почти не меняется, и детектор объединяет всю запись в одну полку. Но внутри неё нагрузка свипует от полной до нуля — скольжение едет, полоса размазывается и гибнет. Решение: сегментировать по скольжению, брать короткие окна с постоянным s, а заголовочную оценку файла делать на окне МАКСИМАЛЬНОЙ нагрузки. Побочно это даёт ось «сигнатура от нагрузки» бесплатно.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4.2. Два индикатора — зачем оба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Наивный (rise): </w:t>
      </w:r>
      <w:r>
        <w:rPr>
          <w:sz w:val="22"/>
          <w:szCs w:val="22"/>
        </w:rPr>
        <w:t xml:space="preserve">уровень полосы минус фоновый уровень нормы того же режима. Проблема — он требует, чтобы фон нормы был одинаков в обоих протоколах, а в health мы видели, что он расходится до 9 дБ. Значит наивный индикатор наследует этот разброс.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Самодостаточный (SNR): </w:t>
      </w:r>
      <w:r>
        <w:rPr>
          <w:sz w:val="22"/>
          <w:szCs w:val="22"/>
        </w:rPr>
        <w:t xml:space="preserve">выступ полосы над её собственными плечами в ТОМ ЖЕ спектре. Числитель и знаменатель берутся из одного окна — общий шум сокращается, калибровка между режимами не нужна. Мы ведём оба, чтобы наглядно показать проблему (наивный) и лекарство (SNR).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4.3. Гребёнка k=1,2,3 и контроли</w:t>
      </w:r>
    </w:p>
    <w:p>
      <w:pPr>
        <w:spacing w:after="130" w:line="278"/>
      </w:pPr>
      <w:r>
        <w:rPr>
          <w:sz w:val="22"/>
          <w:szCs w:val="22"/>
        </w:rPr>
        <w:t xml:space="preserve">Меряем всю гребёнку (три пары полос) — для надёжной отстройки от ложных пиков. Два контроля подтверждают, что это именно обрыв: </w:t>
      </w:r>
      <w:r>
        <w:rPr>
          <w:b/>
          <w:bCs/>
          <w:sz w:val="22"/>
          <w:szCs w:val="22"/>
        </w:rPr>
        <w:t xml:space="preserve">небаланс токов</w:t>
      </w:r>
      <w:r>
        <w:rPr>
          <w:sz w:val="22"/>
          <w:szCs w:val="22"/>
        </w:rPr>
        <w:t xml:space="preserve"> не должен вырасти (иначе это статор, а не ротор), и </w:t>
      </w:r>
      <w:r>
        <w:rPr>
          <w:b/>
          <w:bCs/>
          <w:sz w:val="22"/>
          <w:szCs w:val="22"/>
        </w:rPr>
        <w:t xml:space="preserve">зона дисбаланса f1±fr</w:t>
      </w:r>
      <w:r>
        <w:rPr>
          <w:sz w:val="22"/>
          <w:szCs w:val="22"/>
        </w:rPr>
        <w:t xml:space="preserve"> должна остаться пустой (иначе это дисбаланс, а не стержень).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Результаты по всем 12 файлам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5.1. Сигнатура подтверждена: полосы следуют за скольжением</w:t>
      </w:r>
    </w:p>
    <w:p>
      <w:pPr>
        <w:spacing w:after="130" w:line="278"/>
      </w:pPr>
      <w:r>
        <w:rPr>
          <w:sz w:val="22"/>
          <w:szCs w:val="22"/>
        </w:rPr>
        <w:t xml:space="preserve">Первое и главное: на всех файлах измеренные центры полос совпадают с предсказанными по скольжению (ошибка — доли герца, единицы частотных ячеек). Когда мы строим отступ полос против скольжения, точки выстраиваются закономерно — полосы едут ровно так, как велит скольжение. Это доказывает, что мы видим настоящую роторную сигнатуру, а не случайные пики.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S3. Отступ полос строго определяется скольжением — подпись обрыва.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5.2. Наивный индикатор проваливается, самодостаточный SNR — нет</w:t>
      </w:r>
    </w:p>
    <w:p>
      <w:pPr>
        <w:spacing w:after="130" w:line="278"/>
      </w:pPr>
      <w:r>
        <w:rPr>
          <w:sz w:val="22"/>
          <w:szCs w:val="22"/>
        </w:rPr>
        <w:t xml:space="preserve">Здесь — расплата за проблему из health и её решение. Наивный подъём над базой нормы разбросан от −2 до +13 дБ на одних и тех же режимах между протоколами: на него нельзя поставить единый порог. Самодостаточный SNR тех же точек держится плотно — он не зависит от межпротокольной калибровки. Вывод блока: строим диагностику на SNR.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S2. Наивный индикатор скачет между протоколами; SNR стабилен.</w:t>
      </w:r>
    </w:p>
    <w:p>
      <w:pPr>
        <w:spacing w:after="130" w:line="278"/>
      </w:pPr>
      <w:r>
        <w:rPr>
          <w:b/>
          <w:bCs/>
          <w:sz w:val="22"/>
          <w:szCs w:val="22"/>
        </w:rPr>
        <w:t xml:space="preserve">Дополнительный довод: </w:t>
      </w:r>
      <w:r>
        <w:rPr>
          <w:sz w:val="22"/>
          <w:szCs w:val="22"/>
        </w:rPr>
        <w:t xml:space="preserve">наивный индикатор местами вообще недоступен — там, где фон нормы в health вышел неопределённым (низкое скольжение в torque), считать подъём над нормой не от чего. SNR работает всегда.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5.3. Ось нагрузки: сила сигнатуры растёт с нагрузкой</w:t>
      </w:r>
    </w:p>
    <w:p>
      <w:pPr>
        <w:spacing w:after="130" w:line="278"/>
      </w:pPr>
      <w:r>
        <w:rPr>
          <w:sz w:val="22"/>
          <w:szCs w:val="22"/>
        </w:rPr>
        <w:t xml:space="preserve">Сегментация по скольжению дала ось нагрузки бесплатно. Видно чётко: под тяжёлой нагрузкой (40 Н·м) SNR полосы 37–44 дБ — уверенно; под лёгкой (20 Н·м) 15–26 дБ — слабее. Медианы: 37 дБ против 19 дБ. Практический смысл: обрыв надёжнее всего ловится под нагрузкой.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S1. Сигнатура vs нагрузка. Сила ∝ нагрузка, разрешимость ∝ скорость.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5.4. Два разных предела различимости</w:t>
      </w:r>
    </w:p>
    <w:p>
      <w:pPr>
        <w:spacing w:after="130" w:line="278"/>
      </w:pPr>
      <w:r>
        <w:rPr>
          <w:sz w:val="22"/>
          <w:szCs w:val="22"/>
        </w:rPr>
        <w:t xml:space="preserve">Мы заранее заложили, что «слабо различимо» бывает двух видов, и оба подтвердились: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Ложный предел (артефакт нагрузки): </w:t>
      </w:r>
      <w:r>
        <w:rPr>
          <w:sz w:val="22"/>
          <w:szCs w:val="22"/>
        </w:rPr>
        <w:t xml:space="preserve">в torque на лёгкой нагрузке полоса гибла из-за усреднения по нагрузке. Лечится сегментацией — после неё сигнатура восстанавливается (SNR вырос с 5 до 16 дБ и выше). Это НЕ физический предел.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C2A2A"/>
          <w:sz w:val="22"/>
          <w:szCs w:val="22"/>
        </w:rPr>
        <w:t xml:space="preserve">Истинный предел (физика): </w:t>
      </w:r>
      <w:r>
        <w:rPr>
          <w:sz w:val="22"/>
          <w:szCs w:val="22"/>
        </w:rPr>
        <w:t xml:space="preserve">на speed 40/1000 скольжение высокое (4.3 %), но скорость низкая, поэтому f1 всего 8 Гц, а отступ полос 0.7 Гц жмётся к юбке основной линии — SNR падает до 2 дБ, полоса тонет. На полке повыше того же файла SNR был 26–30 дБ. Вывод: сила сигнатуры растёт с нагрузкой, а РАЗРЕШИМОСТЬ — со скоростью; на низкой скорости при высокой нагрузке они конфликтуют. Это настоящая граница метода.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6. Как читать диагностический лист</w:t>
      </w:r>
    </w:p>
    <w:p>
      <w:pPr>
        <w:spacing w:after="130" w:line="278"/>
      </w:pPr>
      <w:r>
        <w:rPr>
          <w:sz w:val="22"/>
          <w:szCs w:val="22"/>
        </w:rPr>
        <w:t xml:space="preserve">Для каждого файла построен лист из шести панелей. Разберём один раз, что где.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(1) Скорость + окна анализа. </w:t>
      </w:r>
      <w:r>
        <w:rPr>
          <w:sz w:val="22"/>
          <w:szCs w:val="22"/>
        </w:rPr>
        <w:t xml:space="preserve">Профиль скорости; зелёным — слип-стабильные окна, красной рамкой — окно максимальной нагрузки, по которому заголовочные метрики.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(2) Спектрограмма тока. </w:t>
      </w:r>
      <w:r>
        <w:rPr>
          <w:sz w:val="22"/>
          <w:szCs w:val="22"/>
        </w:rPr>
        <w:t xml:space="preserve">Карта время–частота. У speed линия f1 ступает, у torque стоит ровно. Голубые линии — границы окна макс. нагрузки.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(3) Гребёнка полос. </w:t>
      </w:r>
      <w:r>
        <w:rPr>
          <w:sz w:val="22"/>
          <w:szCs w:val="22"/>
        </w:rPr>
        <w:t xml:space="preserve">Спектр тока вокруг f1. Штриховые линии — предсказанные позиции k=1 (красные), k=2 (оранжевые), k=3 (синие). В заголовке — SNR первой полосы.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(4) Сигнатура vs скольжение. </w:t>
      </w:r>
      <w:r>
        <w:rPr>
          <w:sz w:val="22"/>
          <w:szCs w:val="22"/>
        </w:rPr>
        <w:t xml:space="preserve">SNR полосы по всем окнам файла — зависимость от нагрузки. Красная точка — окно макс. нагрузки.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(5) Полный спектр тока. </w:t>
      </w:r>
      <w:r>
        <w:rPr>
          <w:sz w:val="22"/>
          <w:szCs w:val="22"/>
        </w:rPr>
        <w:t xml:space="preserve">f1 и её гармоники над шумовым полом (красная штриховая).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(6) Контроль. </w:t>
      </w:r>
      <w:r>
        <w:rPr>
          <w:sz w:val="22"/>
          <w:szCs w:val="22"/>
        </w:rPr>
        <w:t xml:space="preserve">Зона обрыва (2s·f1, красные — пики ЕСТЬ) и зона дисбаланса (f1±fr, зелёные — ПУСТО). Наглядно: это стержень, а не дисбаланс.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7. Проход по всем режимам</w:t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7.1. Режим speed (скорость ступает)</w:t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20 Н·м · 1000 об/мин</w:t>
      </w:r>
    </w:p>
    <w:p>
      <w:pPr>
        <w:spacing w:after="60" w:line="278"/>
      </w:pPr>
      <w:r>
        <w:rPr>
          <w:sz w:val="22"/>
          <w:szCs w:val="22"/>
        </w:rPr>
        <w:t xml:space="preserve">Спокойный режим. f1≈16.7 Гц, гребёнка на месте, SNR₁=15 дБ. Спектрограмма показывает ступень скорости 1000→500→1000. Зона дисбаланса (панель 6) пуста — это стержень.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20 Н·м · 2000 об/мин</w:t>
      </w:r>
    </w:p>
    <w:p>
      <w:pPr>
        <w:spacing w:after="60" w:line="278"/>
      </w:pPr>
      <w:r>
        <w:rPr>
          <w:sz w:val="22"/>
          <w:szCs w:val="22"/>
        </w:rPr>
        <w:t xml:space="preserve">f1≈33 Гц, SNR₁=20 дБ, полная гребёнка (когерентность 1.0). Отступ полос вырос до ~1 Гц — различимость лучше, чем на 1000.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20 Н·м · 3000 об/мин</w:t>
      </w:r>
    </w:p>
    <w:p>
      <w:pPr>
        <w:spacing w:after="60" w:line="278"/>
      </w:pPr>
      <w:r>
        <w:rPr>
          <w:sz w:val="22"/>
          <w:szCs w:val="22"/>
        </w:rPr>
        <w:t xml:space="preserve">f1≈42 Гц (промежуточная полка 2480 об/мин), SNR₁=21 дБ. На высокой скорости полосы уверенно отделены от f1.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40 Н·м · 1000 об/мин — ИСТИННЫЙ ПРЕДЕЛ</w:t>
      </w:r>
    </w:p>
    <w:p>
      <w:pPr>
        <w:spacing w:after="60" w:line="278"/>
      </w:pPr>
      <w:r>
        <w:rPr>
          <w:color w:val="9C2A2A"/>
          <w:sz w:val="22"/>
          <w:szCs w:val="22"/>
        </w:rPr>
        <w:t xml:space="preserve">Ключевой режим. Скольжение высокое (4.3 %), но f1 всего 8.3 Гц, отступ 0.72 Гц жмётся к юбке — SNR₁ падает до 2 дБ, полоса тонет (панель 3). При этом на полке 969 об/мин того же файла (панель 4) SNR доходил до 26–30 дБ. Наглядная граница метода: низкая скорость + высокая нагрузка = худшая различимость.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40 Н·м · 2000 об/мин</w:t>
      </w:r>
    </w:p>
    <w:p>
      <w:pPr>
        <w:spacing w:after="60" w:line="278"/>
      </w:pPr>
      <w:r>
        <w:rPr>
          <w:sz w:val="22"/>
          <w:szCs w:val="22"/>
        </w:rPr>
        <w:t xml:space="preserve">Тяжёлая нагрузка на средней скорости — сигнатура мощная: SNR₁=43 дБ, гребёнка чёткая, полосы высоко над полом.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speed · 40 Н·м · 3000 об/мин</w:t>
      </w:r>
    </w:p>
    <w:p>
      <w:pPr>
        <w:spacing w:after="60" w:line="278"/>
      </w:pPr>
      <w:r>
        <w:rPr>
          <w:sz w:val="22"/>
          <w:szCs w:val="22"/>
        </w:rPr>
        <w:t xml:space="preserve">Самый сильный случай: SNR₁=44 дБ, отступ 2.66 Гц, все три гармоники видны отчётливо. Идеальная различимость.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5A88"/>
        </w:rPr>
        <w:t xml:space="preserve">7.2. Режим torque (нагрузка ступает)</w:t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20 Н·м · 1000 об/мин — восстановление сегментацией</w:t>
      </w:r>
    </w:p>
    <w:p>
      <w:pPr>
        <w:spacing w:after="60" w:line="278"/>
      </w:pPr>
      <w:r>
        <w:rPr>
          <w:sz w:val="22"/>
          <w:szCs w:val="22"/>
        </w:rPr>
        <w:t xml:space="preserve">Спектрограмма — ровная линия f1 (скорость постоянна). Именно здесь склеенное окно давало SNR 5 дБ; после сегментации по слипу окно макс. нагрузки даёт SNR₁=16 дБ. Панель 4 показывает разброс по нагрузке внутри записи.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20 Н·м · 2000 об/мин</w:t>
      </w:r>
    </w:p>
    <w:p>
      <w:pPr>
        <w:spacing w:after="60" w:line="278"/>
      </w:pPr>
      <w:r>
        <w:rPr>
          <w:sz w:val="22"/>
          <w:szCs w:val="22"/>
        </w:rPr>
        <w:t xml:space="preserve">f1≈33 Гц, SNR₁=16 дБ, полная гребёнка. Наивный индикатор здесь недоступен (фон нормы в health неопределён) — работает только SNR.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20 Н·м · 3000 об/мин</w:t>
      </w:r>
    </w:p>
    <w:p>
      <w:pPr>
        <w:spacing w:after="60" w:line="278"/>
      </w:pPr>
      <w:r>
        <w:rPr>
          <w:sz w:val="22"/>
          <w:szCs w:val="22"/>
        </w:rPr>
        <w:t xml:space="preserve">f1≈50 Гц, SNR₁=26 дБ. Окно макс. нагрузки взято у начала записи; сигнатура уверенная.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40 Н·м · 1000 об/мин</w:t>
      </w:r>
    </w:p>
    <w:p>
      <w:pPr>
        <w:spacing w:after="60" w:line="278"/>
      </w:pPr>
      <w:r>
        <w:rPr>
          <w:sz w:val="22"/>
          <w:szCs w:val="22"/>
        </w:rPr>
        <w:t xml:space="preserve">Тяжёлая нагрузка при низкой скорости: f1≈16.7 Гц, отступ 1.24 Гц. SNR₁=26 дБ — различимо, в отличие от speed 40/1000, потому что здесь скорость держится у 1000 (f1 вдвое выше, чем на низкой полке speed).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40 Н·м · 2000 об/мин</w:t>
      </w:r>
    </w:p>
    <w:p>
      <w:pPr>
        <w:spacing w:after="60" w:line="278"/>
      </w:pPr>
      <w:r>
        <w:rPr>
          <w:sz w:val="22"/>
          <w:szCs w:val="22"/>
        </w:rPr>
        <w:t xml:space="preserve">Сильная сигнатура: SNR₁=42 дБ, отступ 2.1 Гц, чёткая гребёнка.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88"/>
          <w:sz w:val="22"/>
          <w:szCs w:val="22"/>
        </w:rPr>
        <w:t xml:space="preserve">torque · 40 Н·м · 3000 об/мин</w:t>
      </w:r>
    </w:p>
    <w:p>
      <w:pPr>
        <w:spacing w:after="60" w:line="278"/>
      </w:pPr>
      <w:r>
        <w:rPr>
          <w:sz w:val="22"/>
          <w:szCs w:val="22"/>
        </w:rPr>
        <w:t xml:space="preserve">f1≈50 Гц, SNR₁=37 дБ, отступ 2.96 Гц. Полосы высоко над полом, контроль дисбаланса пуст.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8. Честные границы блока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Только тяжёлый дефект (метка H), градаций тяжести нет </w:t>
      </w:r>
      <w:r>
        <w:rPr>
          <w:sz w:val="22"/>
          <w:szCs w:val="22"/>
        </w:rPr>
        <w:t xml:space="preserve">→ ось «глубина дефекта / число оборванных стержней» построить нельзя; есть только ось скорости и нагрузки.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Число оборванных стержней </w:t>
      </w:r>
      <w:r>
        <w:rPr>
          <w:sz w:val="22"/>
          <w:szCs w:val="22"/>
        </w:rPr>
        <w:t xml:space="preserve">классическими формулами по уровню полосы без калибровки по тяжести не оценивается — максимум качественно.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Записи деградации во времени нет </w:t>
      </w:r>
      <w:r>
        <w:rPr>
          <w:sz w:val="22"/>
          <w:szCs w:val="22"/>
        </w:rPr>
        <w:t xml:space="preserve">→ темп развития в демо раннего предупреждения придётся моделировать, честно это оговаривая.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Композиты с подшипником </w:t>
      </w:r>
      <w:r>
        <w:rPr>
          <w:sz w:val="22"/>
          <w:szCs w:val="22"/>
        </w:rPr>
        <w:t xml:space="preserve">берём только по роторной части (ток); подшипниковая уедет в отдельный блок.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Истинный предел различимости </w:t>
      </w:r>
      <w:r>
        <w:rPr>
          <w:sz w:val="22"/>
          <w:szCs w:val="22"/>
        </w:rPr>
        <w:t xml:space="preserve">— низкая скорость при высокой нагрузке (пример: speed 40/1000). Там метод честно помечает «неразрешимо», а не выдаёт шум за сигнал.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9. Выводы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1. Сигнатура обрыва подтверждена на всех 12 файлах: </w:t>
      </w:r>
      <w:r>
        <w:rPr>
          <w:sz w:val="22"/>
          <w:szCs w:val="22"/>
        </w:rPr>
        <w:t xml:space="preserve">полосы следуют за скольжением, видна гребёнка k=1,2,3, контроли чисты.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2. Открытый вопрос health закрыт: </w:t>
      </w:r>
      <w:r>
        <w:rPr>
          <w:sz w:val="22"/>
          <w:szCs w:val="22"/>
        </w:rPr>
        <w:t xml:space="preserve">самодостаточный SNR снимает межпротокольный разброс, на котором проваливается наивный индикатор. Диагностику строим на SNR.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3. Нагрузка = ось силы сигнатуры: </w:t>
      </w:r>
      <w:r>
        <w:rPr>
          <w:sz w:val="22"/>
          <w:szCs w:val="22"/>
        </w:rPr>
        <w:t xml:space="preserve">40 Н·м → 37–44 дБ, 20 Н·м → 15–26 дБ. Обрыв надёжнее ловится под нагрузкой.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4. Найден и объяснён истинный предел: </w:t>
      </w:r>
      <w:r>
        <w:rPr>
          <w:sz w:val="22"/>
          <w:szCs w:val="22"/>
        </w:rPr>
        <w:t xml:space="preserve">низкая скорость + высокая нагрузка (низкая f1, полоса у юбки). Сила растёт с нагрузкой, разрешимость — со скоростью.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sz w:val="22"/>
          <w:szCs w:val="22"/>
        </w:rPr>
        <w:t xml:space="preserve">5. Метод torque исправлен: </w:t>
      </w:r>
      <w:r>
        <w:rPr>
          <w:sz w:val="22"/>
          <w:szCs w:val="22"/>
        </w:rPr>
        <w:t xml:space="preserve">обязательная сегментация по скольжению; побочно получена ось нагрузки.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10. Приложение — заголовочная таблица (окно макс. нагрузки на файл)</w:t>
      </w:r>
    </w:p>
    <w:p>
      <w:pPr>
        <w:spacing w:after="100" w:line="278"/>
      </w:pPr>
      <w:r>
        <w:rPr>
          <w:sz w:val="22"/>
          <w:szCs w:val="22"/>
        </w:rPr>
        <w:t xml:space="preserve">Столбцы: протокол; номинальная нагрузка; скорость; f1; скольжение s; отступ полос 2s·f1; разрешимо ли; SNR первой полосы; наивный подъём над health-полом (— где недоступен); когерентность гребёнки; небаланс токов (контроль).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820"/>
        <w:gridCol w:w="640"/>
        <w:gridCol w:w="640"/>
        <w:gridCol w:w="680"/>
        <w:gridCol w:w="720"/>
        <w:gridCol w:w="680"/>
        <w:gridCol w:w="720"/>
        <w:gridCol w:w="760"/>
        <w:gridCol w:w="700"/>
      </w:tblGrid>
      <w:tr>
        <w:trPr>
          <w:tblHeader/>
        </w:trP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прот.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Н·м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об/мин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f1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s,%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2sf1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разр.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SNR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наив.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когер.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неб.%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986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16.7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1.78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0.59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7.7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0.21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1971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33.4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1.60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0.28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2480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41.8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1.20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1.01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0.32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477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8.3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4.34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0.72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0.83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0.09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1450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25.0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3.33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1.67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13.2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0.24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2430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41.8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3.18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2.66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4.7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987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16.7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1.74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0.58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0.50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0.12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1974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33.4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1.44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0.96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0.23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2971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50.1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1.20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1.21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0.29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967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16.7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3.69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1.24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-1.7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0.17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1940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33.4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3.15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2.11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0.27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torque</w:t>
            </w:r>
          </w:p>
        </w:tc>
        <w:tc>
          <w:tcPr>
            <w:tcW w:type="dxa" w:w="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2919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50.1</w:t>
            </w:r>
          </w:p>
        </w:tc>
        <w:tc>
          <w:tcPr>
            <w:tcW w:type="dxa" w:w="6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2.96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2.96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да</w:t>
            </w:r>
          </w:p>
        </w:tc>
        <w:tc>
          <w:tcPr>
            <w:tcW w:type="dxa" w:w="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7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EF2F8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0.28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Полный набор по всем окнам (318 строк, все гармоники и разбросы) — в broken_bar_windows.csv.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b87baa5a2e18a1a89710610e63b3da59a7aa7c.png"/><Relationship Id="rId8" Type="http://schemas.openxmlformats.org/officeDocument/2006/relationships/image" Target="media/1c98a1ea3dee368bca41de63fc216b5bfe9fec7d.png"/><Relationship Id="rId9" Type="http://schemas.openxmlformats.org/officeDocument/2006/relationships/image" Target="media/2a0850b41cacaa623b8e3a30330825bd2828e423.png"/><Relationship Id="rId10" Type="http://schemas.openxmlformats.org/officeDocument/2006/relationships/image" Target="media/3d1f34c23763f2f2a6eec492c0ea8b677f6e9f85.png"/><Relationship Id="rId11" Type="http://schemas.openxmlformats.org/officeDocument/2006/relationships/image" Target="media/32f9999224647c9e0a0ce6b9f867d9c0686dcdfa.png"/><Relationship Id="rId12" Type="http://schemas.openxmlformats.org/officeDocument/2006/relationships/image" Target="media/089ed1153cde77c2eb097d7199b886723fd8abcc.png"/><Relationship Id="rId13" Type="http://schemas.openxmlformats.org/officeDocument/2006/relationships/image" Target="media/cfbb4d3afaed1cb42f76fe436111249df7289a25.png"/><Relationship Id="rId14" Type="http://schemas.openxmlformats.org/officeDocument/2006/relationships/image" Target="media/338e951bf45eb1ba67e6c84ea4e0e5730744800c.png"/><Relationship Id="rId15" Type="http://schemas.openxmlformats.org/officeDocument/2006/relationships/image" Target="media/86cbe8da1c3faf814f5f143ce6fd8e76e55df8b1.png"/><Relationship Id="rId16" Type="http://schemas.openxmlformats.org/officeDocument/2006/relationships/image" Target="media/0ab405c3774c4cd8e29009644c57d8d060661bf8.png"/><Relationship Id="rId17" Type="http://schemas.openxmlformats.org/officeDocument/2006/relationships/image" Target="media/23189ce487d6f57d9fbb8425cb0f15e2d4696702.png"/><Relationship Id="rId18" Type="http://schemas.openxmlformats.org/officeDocument/2006/relationships/image" Target="media/cfc0dc8baa16c04d14e2ecd9c53a504b6cdfc8d7.png"/><Relationship Id="rId19" Type="http://schemas.openxmlformats.org/officeDocument/2006/relationships/image" Target="media/a18b921b353dcfe15feec074b0f801c4b2bdd5a2.png"/><Relationship Id="rId20" Type="http://schemas.openxmlformats.org/officeDocument/2006/relationships/image" Target="media/875cdae2bde1247e7440a775a1bb4d26a04d682d.png"/><Relationship Id="rId21" Type="http://schemas.openxmlformats.org/officeDocument/2006/relationships/image" Target="media/ee46f721dd813c78691c0f6abde5acf4cc7f4d3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2026-07-08T07:56:12.344Z</dcterms:created>
  <dcterms:modified xsi:type="dcterms:W3CDTF">2026-07-08T07:56:12.360Z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