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案件登録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【新規登録ボタン】のクリック時。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入力内容を検証して案件情報を登録し、成功時は案件情報更新画面へ遷移する。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先に各画面項目に表示中のエラーメッセージを全て消去する。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登録の要求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入力内容（添付ファイル・メール送信可否・メール本文を含む）を【案件情報登録画面コントローラー】の案件登録（register, POST /projects/new）に送信する。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入力値チェック違反がある場合、登録は実施されず、案件情報登録画面が再表示される。違反のあった全ての画面項目にエラーメッセージ（同一項目で複数違反時は最小番号の1つ）を表示する。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成功時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登録が正常終了した場合、登録した案件情報を表示した案件情報更新画面へ遷移する。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ログインの有効期限が切れている場合、ログイン画面に遷移してログインを要求し、ログイン成功後は案件情報一覧画面に遷移する。入力した値は破棄され、登録は行われない。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上記以外のエラーの場合、エラー画面に遷移して【サーバー内部エラー】を表示する（営業情報メールの送信失敗は登録を取り消さず、ユーザに通知しない）。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案件登録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