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編集保護切替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※画面テンプレート一覧【案件情報更新画面】を参照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【編集保護トグル】のオン・オフ切替時。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編集保護の状態に応じて、各入力項目の入力可否・メール領域・編集確定ボタン・ファイルピッカー・ファイル一覧行クリックの挙動を切り替える。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オンにした場合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編集保護対象（入出力仕様で【編集保護あり】の各項目）を入力不可にし、【ファイルピッカー】を無効化（クリックでダイアログを開かず、ドロップ不可）し、【メール】領域（メール送信チェックボックス・メール本文）と【編集確定ボタン】を非表示にする。【ファイル一覧】の行クリックはダウンロードに切り替え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オフにした場合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編集保護対象の各項目を入力可能にし、【ファイルピッカー】を有効化し、【メール】領域と【編集確定ボタン】を表示する。【ファイル一覧】の行クリックは削除確認ダイアログの表示に切り替える。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入力値の保持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項目を変更した後に編集保護をオンにした場合でも、項目の入力値は編集された内容のまま保持する。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案件情報更新画面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編集保護切替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