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4B08D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Introduction</w:t>
      </w:r>
      <w:proofErr w:type="spellEnd"/>
    </w:p>
    <w:p w14:paraId="0255C022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reality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today’s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environment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organisation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regardless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size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can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afford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treat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afterthought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For 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India, the risks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sabotage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non-compliance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evolving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frameworks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both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immediate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escalating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departments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handle firewalls and endpoints,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responsibility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staying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compliant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equally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management,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teams, and,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times,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board.</w:t>
      </w:r>
    </w:p>
    <w:p w14:paraId="2EB88097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fundamentally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changed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over the last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few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years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through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viewed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authorities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With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treated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national asset and cross-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border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flows under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greater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scrutiny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compliance bar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raised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entities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The shift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particularly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visible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introduction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the Digital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Act, 2023,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parallel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enforcement under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older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frameworks like the Information Technology Act, 2000,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sector-specific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circulars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RBI, SEBI, and IRDAI.</w:t>
      </w:r>
    </w:p>
    <w:p w14:paraId="7729E916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process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user data,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through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mobile/web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platforms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indirectly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via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backend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service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functions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take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reasonable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demonstrable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measures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prevent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to, and report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incidents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keeping logs,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appointing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responsible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officers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executing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diligence,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above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adopting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 cybersecurity compliance checklist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their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realities.</w:t>
      </w:r>
    </w:p>
    <w:p w14:paraId="1DDFE5BC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sound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straightforward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theory,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scattered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across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multiple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sources,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triggers, timelines, and reporting duties.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further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complexity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businesses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unaware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(with clients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) can create liability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exposures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case of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fault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externally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17D10A0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Why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a Legal Compliance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Issue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, Not Just IT</w:t>
      </w:r>
    </w:p>
    <w:p w14:paraId="25F38DDD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Until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recently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companies,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startups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mid-sized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were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treating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best practice.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approach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longer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works.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India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today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makes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clear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0B96128F" w14:textId="77777777" w:rsidR="002C71CA" w:rsidRPr="002C71CA" w:rsidRDefault="002C71CA" w:rsidP="00341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handling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 sensitive personal data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follow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reasonable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security practices.</w:t>
      </w:r>
    </w:p>
    <w:p w14:paraId="17529F11" w14:textId="77777777" w:rsidR="002C71CA" w:rsidRPr="002C71CA" w:rsidRDefault="002C71CA" w:rsidP="00341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Specific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types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must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reported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6 hours to CERT-In.</w:t>
      </w:r>
    </w:p>
    <w:p w14:paraId="57ACFB9B" w14:textId="77777777" w:rsidR="002C71CA" w:rsidRPr="002C71CA" w:rsidRDefault="002C71CA" w:rsidP="00341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Logs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evidence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trails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must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preserved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a minimum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period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(180 days,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present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); and</w:t>
      </w:r>
    </w:p>
    <w:p w14:paraId="223D5E80" w14:textId="77777777" w:rsidR="002C71CA" w:rsidRPr="002C71CA" w:rsidRDefault="002C71CA" w:rsidP="00341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Certain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 must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appoint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officers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publish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security policies,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they’re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the tech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275F0B46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 short, cyber diligence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threshold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affects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company’s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standing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investors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enterprise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clients,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insurers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With penalties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ranging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from ₹5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₹250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the DPDPA, and in some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criminal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prosecution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66 or 72A of the IT Act,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structured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verifiable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become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non-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negotiable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04404DCE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The Legal Patchwork: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Makes Cyber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in India So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Risky</w:t>
      </w:r>
      <w:proofErr w:type="spellEnd"/>
    </w:p>
    <w:p w14:paraId="31F5955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One of the more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difficult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things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businesses in India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their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fragmentation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A company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with:</w:t>
      </w:r>
    </w:p>
    <w:p w14:paraId="356F7C68" w14:textId="77777777" w:rsidR="002C71CA" w:rsidRPr="002C71CA" w:rsidRDefault="002C71CA" w:rsidP="00341AB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IT Act (for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offences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liabilities),</w:t>
      </w:r>
    </w:p>
    <w:p w14:paraId="11046C0A" w14:textId="77777777" w:rsidR="002C71CA" w:rsidRPr="002C71CA" w:rsidRDefault="002C71CA" w:rsidP="00341AB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SPDI Rules (for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handling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 sensitive personal data),</w:t>
      </w:r>
    </w:p>
    <w:p w14:paraId="71B16F55" w14:textId="77777777" w:rsidR="002C71CA" w:rsidRPr="002C71CA" w:rsidRDefault="002C71CA" w:rsidP="00341AB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reporting and log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retention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),</w:t>
      </w:r>
    </w:p>
    <w:p w14:paraId="3F08F675" w14:textId="77777777" w:rsidR="002C71CA" w:rsidRPr="002C71CA" w:rsidRDefault="002C71CA" w:rsidP="00341AB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RBI/SEBI/IRDAI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advisories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a</w:t>
      </w:r>
      <w:proofErr w:type="gram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financial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),</w:t>
      </w:r>
    </w:p>
    <w:p w14:paraId="55E3B39B" w14:textId="77777777" w:rsidR="002C71CA" w:rsidRPr="002C71CA" w:rsidRDefault="002C71CA" w:rsidP="00341AB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DPDPA 2023 (for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design and accountability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mechanisms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</w:t>
      </w:r>
    </w:p>
    <w:p w14:paraId="1B6E17A1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instruments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imposes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slightly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different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standards.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instance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under 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VPN providers must store customer data for 5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years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Under the SPDI Rules,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must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obtained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sharing data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parties. The DPDPA, on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hand,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company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“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reasonable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time”,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term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yet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fully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interpreted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likely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depend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case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future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Board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circulars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698D388D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risk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partially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compliant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antivirus software, a VPN, and some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version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access control,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lack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process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audits,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incident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planning.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proper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 cybersecurity compliance checklist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becomes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just to tick boxes,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reduce risk on a day-to-day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69BF7AD9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Guide Will Help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You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Do</w:t>
      </w:r>
    </w:p>
    <w:p w14:paraId="71D8B9CF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guide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serves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consolidated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+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roadmap.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intended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theoretical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overly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technical;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outlines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 in India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do,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the nature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their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business, data flows,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-party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arrangements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existing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225D3861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purpose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threefold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6D48B694" w14:textId="77777777" w:rsidR="002C71CA" w:rsidRPr="002C71CA" w:rsidRDefault="002C71CA" w:rsidP="00341A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To help companies reduce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exposure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penalties,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reputational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damage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199147B3" w14:textId="77777777" w:rsidR="002C71CA" w:rsidRPr="002C71CA" w:rsidRDefault="002C71CA" w:rsidP="00341A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provide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compliance teams with a live checklist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operationalise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75786222" w14:textId="77777777" w:rsidR="002C71CA" w:rsidRPr="002C71CA" w:rsidRDefault="002C71CA" w:rsidP="00341A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To bridge the gap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between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IT teams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2659B6D4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From log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retention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rules under CERT-In,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handling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user data, to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meaning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“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reasonable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security practices”,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checklist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connects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suggested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action.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helpful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founders,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heads, and compliance managers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don’t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time (or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clarity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)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comb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through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new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circular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5AC79BE3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lastRenderedPageBreak/>
        <w:t>Understanding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Businesses</w:t>
      </w:r>
    </w:p>
    <w:p w14:paraId="36B42822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Today,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businesses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sizes, from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fintechs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marketplaces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traditional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manufacturing companies,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subject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growing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web of cybersecurity-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IT teams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often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controls,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stem from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various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statutes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rules,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Unfortunately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centralised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one code;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instead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emerge from multiple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instruments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Information Technology Act,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notifications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CERT-In,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recently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Digital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Act, 2023.</w:t>
      </w:r>
    </w:p>
    <w:p w14:paraId="387483EF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organisations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themselves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partially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compliant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firewalls, antivirus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solutions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access controls,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lacking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awareness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mandatory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duties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go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beyond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technical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hygiene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breaks down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framework for 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India,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differ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from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serious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consequences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non-compliance.</w:t>
      </w:r>
    </w:p>
    <w:p w14:paraId="68F62AA8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Key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Statutory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Framework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Governing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Cybersecurity in India</w:t>
      </w:r>
    </w:p>
    <w:p w14:paraId="46CF7022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Legal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 cybersecurity compliance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arise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from a patchwork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central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legislation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delegated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rules,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notifications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sector-specific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circulars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relevant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components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are:</w:t>
      </w:r>
    </w:p>
    <w:p w14:paraId="1F0DA0EB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  <w:t>1. </w:t>
      </w: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Information Technology Act, 2000 (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amended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in 2008)</w:t>
      </w:r>
    </w:p>
    <w:p w14:paraId="68E325AB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foundational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statute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electronic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data, cyber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offences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governance in India.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penalises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hacking,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theft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denial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service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attacks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unauthorised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Relevant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6D290A34" w14:textId="77777777" w:rsidR="002C71CA" w:rsidRPr="002C71CA" w:rsidRDefault="002C71CA" w:rsidP="00341A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43A: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Compensation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sensitive personal data</w:t>
      </w:r>
    </w:p>
    <w:p w14:paraId="5A795B1C" w14:textId="77777777" w:rsidR="002C71CA" w:rsidRPr="002C71CA" w:rsidRDefault="002C71CA" w:rsidP="00341A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66: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Criminal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penalties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dishonest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fraudulent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 activity</w:t>
      </w:r>
    </w:p>
    <w:p w14:paraId="7CA92280" w14:textId="77777777" w:rsidR="002C71CA" w:rsidRPr="002C71CA" w:rsidRDefault="002C71CA" w:rsidP="00341A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72A: Disclosure of personal information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consent</w:t>
      </w:r>
      <w:proofErr w:type="spellEnd"/>
    </w:p>
    <w:p w14:paraId="7F9D86D3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also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gives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government the power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through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agencies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like CERT-In in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interest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cybersecurity.</w:t>
      </w:r>
    </w:p>
    <w:p w14:paraId="594A564B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2. SPDI Rules, 2011</w:t>
      </w:r>
    </w:p>
    <w:p w14:paraId="13DD6F03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Applicable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company or body corporate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handles “sensitive personal data or information” (SPDI),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financial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data, passwords, health information,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biometric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data, etc.</w:t>
      </w:r>
    </w:p>
    <w:p w14:paraId="30F891EB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rules include:</w:t>
      </w:r>
    </w:p>
    <w:p w14:paraId="4B02B751" w14:textId="77777777" w:rsidR="002C71CA" w:rsidRPr="002C71CA" w:rsidRDefault="002C71CA" w:rsidP="00341A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Obtaining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before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collection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disclosure</w:t>
      </w:r>
    </w:p>
    <w:p w14:paraId="423F7B30" w14:textId="77777777" w:rsidR="002C71CA" w:rsidRPr="002C71CA" w:rsidRDefault="002C71CA" w:rsidP="00341A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Publishing a privacy policy</w:t>
      </w:r>
    </w:p>
    <w:p w14:paraId="1865B556" w14:textId="77777777" w:rsidR="002C71CA" w:rsidRPr="002C71CA" w:rsidRDefault="002C71CA" w:rsidP="00341A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security via “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reasonable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security practices”</w:t>
      </w:r>
    </w:p>
    <w:p w14:paraId="10EA5001" w14:textId="77777777" w:rsidR="002C71CA" w:rsidRPr="002C71CA" w:rsidRDefault="002C71CA" w:rsidP="00341A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Executing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-party processors</w:t>
      </w:r>
    </w:p>
    <w:p w14:paraId="080BECD7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rules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important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service providers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collect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from users.</w:t>
      </w:r>
    </w:p>
    <w:p w14:paraId="4C89A99B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3. CERT-In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(April 2022)</w:t>
      </w:r>
    </w:p>
    <w:p w14:paraId="583C6D4F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br/>
        <w:t>CERT-In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Computer Emergency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Team), under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Ministry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Electronics and Information Technology,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updated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2022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enhance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readiness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213A4CE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Key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54A55EFC" w14:textId="77777777" w:rsidR="002C71CA" w:rsidRPr="002C71CA" w:rsidRDefault="002C71CA" w:rsidP="00341AB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Mandatory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reporting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certain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types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cyber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incidents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6 hours</w:t>
      </w:r>
    </w:p>
    <w:p w14:paraId="6739C94E" w14:textId="77777777" w:rsidR="002C71CA" w:rsidRPr="002C71CA" w:rsidRDefault="002C71CA" w:rsidP="00341AB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Log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retention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systems for 180 days,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synchronised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time servers</w:t>
      </w:r>
    </w:p>
    <w:p w14:paraId="2EEC946C" w14:textId="77777777" w:rsidR="002C71CA" w:rsidRPr="002C71CA" w:rsidRDefault="002C71CA" w:rsidP="00341AB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Subscription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IP-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infrastructure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VPN and cloud providers)</w:t>
      </w:r>
    </w:p>
    <w:p w14:paraId="4506B9F7" w14:textId="77777777" w:rsidR="002C71CA" w:rsidRPr="002C71CA" w:rsidRDefault="002C71CA" w:rsidP="00341AB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Timely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requisitions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during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investigations</w:t>
      </w:r>
      <w:proofErr w:type="spellEnd"/>
    </w:p>
    <w:p w14:paraId="2E19248E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form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central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part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cybersecurity audit,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particularly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SaaS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platforms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intermediaries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payment gateway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159C1DAD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4.  Digital Personal Data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Act, 2023 (DPDPA)</w:t>
      </w:r>
    </w:p>
    <w:p w14:paraId="212B3145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recent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addition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governance regime.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primarily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focuses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overlap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cybersecurity.</w:t>
      </w:r>
    </w:p>
    <w:p w14:paraId="110DD91E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Key features </w:t>
      </w:r>
      <w:proofErr w:type="gram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</w:t>
      </w:r>
      <w:proofErr w:type="gram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5B4F1E73" w14:textId="77777777" w:rsidR="002C71CA" w:rsidRPr="002C71CA" w:rsidRDefault="002C71CA" w:rsidP="00341AB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Consent-based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processing and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minimisation</w:t>
      </w:r>
      <w:proofErr w:type="spellEnd"/>
    </w:p>
    <w:p w14:paraId="055017B8" w14:textId="77777777" w:rsidR="002C71CA" w:rsidRPr="002C71CA" w:rsidRDefault="002C71CA" w:rsidP="00341AB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safeguards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“data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fiduciaries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”</w:t>
      </w:r>
    </w:p>
    <w:p w14:paraId="6CAA9D92" w14:textId="77777777" w:rsidR="002C71CA" w:rsidRPr="002C71CA" w:rsidRDefault="002C71CA" w:rsidP="00341AB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Mandatory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notification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the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Board</w:t>
      </w:r>
    </w:p>
    <w:p w14:paraId="686BDEED" w14:textId="77777777" w:rsidR="002C71CA" w:rsidRPr="002C71CA" w:rsidRDefault="002C71CA" w:rsidP="00341AB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Penalties of up to ₹250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instance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non-compliance</w:t>
      </w:r>
    </w:p>
    <w:p w14:paraId="0D5411BA" w14:textId="77777777" w:rsidR="002C71CA" w:rsidRPr="002C71CA" w:rsidRDefault="002C71CA" w:rsidP="00341AB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Classification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certain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organisations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“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significant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fiduciaries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”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DPO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appointment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DPIAs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grievance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redressal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officers</w:t>
      </w:r>
      <w:proofErr w:type="spellEnd"/>
    </w:p>
    <w:p w14:paraId="6D38C810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DPDPA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collected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form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impact 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regardless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processing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occurs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India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abroad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65FF032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5.  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Sectoral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Regulations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(RBI, SEBI, IRDAI, etc.)</w:t>
      </w:r>
    </w:p>
    <w:p w14:paraId="198E74AD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br/>
        <w:t xml:space="preserve">Beyond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central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statutes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must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additional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frameworks:</w:t>
      </w:r>
    </w:p>
    <w:p w14:paraId="091EC168" w14:textId="77777777" w:rsidR="002C71CA" w:rsidRPr="002C71CA" w:rsidRDefault="002C71CA" w:rsidP="00341AB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RBI’s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 Security Framework for banks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NBFCs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regular audits, Board-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approved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policies, and real-time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threat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</w:t>
      </w:r>
    </w:p>
    <w:p w14:paraId="7BEE5ADD" w14:textId="77777777" w:rsidR="002C71CA" w:rsidRPr="002C71CA" w:rsidRDefault="002C71CA" w:rsidP="00341AB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SEBI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stock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exchanges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depositories</w:t>
      </w:r>
      <w:proofErr w:type="spellEnd"/>
    </w:p>
    <w:p w14:paraId="0220D74F" w14:textId="77777777" w:rsidR="002C71CA" w:rsidRPr="002C71CA" w:rsidRDefault="002C71CA" w:rsidP="00341AB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IRDAI’s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Information and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insurers</w:t>
      </w:r>
      <w:proofErr w:type="spellEnd"/>
    </w:p>
    <w:p w14:paraId="40F0B150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frameworks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typically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mandate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periodic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vulnerability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assessments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simulation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exercises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audits,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independent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assurance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reports.</w:t>
      </w:r>
    </w:p>
    <w:p w14:paraId="6CCF2C12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lapses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cloud providers can trigger enforcement, making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critical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businesses to include cybersecurity controls in outsourcing agreements.</w:t>
      </w:r>
    </w:p>
    <w:p w14:paraId="62DA8F7F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How Cybersecurity Compliance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Differs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from Data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Compliance</w:t>
      </w:r>
    </w:p>
    <w:p w14:paraId="75BFD69F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mistakenly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treat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and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interchangeable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involve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different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concepts and compliance duties:</w:t>
      </w:r>
    </w:p>
    <w:p w14:paraId="5B9989A5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Cybersecurity 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securing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systems, networks,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assets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against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unauthorized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or disruption.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measures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like endpoint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log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retention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network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hardening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 Legal sources include:</w:t>
      </w:r>
    </w:p>
    <w:p w14:paraId="2C4270C2" w14:textId="77777777" w:rsidR="002C71CA" w:rsidRPr="002C71CA" w:rsidRDefault="002C71CA" w:rsidP="00341AB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</w:p>
    <w:p w14:paraId="0BEC98F3" w14:textId="77777777" w:rsidR="002C71CA" w:rsidRPr="002C71CA" w:rsidRDefault="002C71CA" w:rsidP="00341AB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IT Act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offences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penalties</w:t>
      </w:r>
    </w:p>
    <w:p w14:paraId="0EB446EC" w14:textId="77777777" w:rsidR="002C71CA" w:rsidRPr="002C71CA" w:rsidRDefault="002C71CA" w:rsidP="00341AB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mandates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IT systems</w:t>
      </w:r>
    </w:p>
    <w:p w14:paraId="35117865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compliance, on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hand,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lawful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collection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processing, and sharing of personal data,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transparency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privacy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safeguards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governed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by:</w:t>
      </w:r>
    </w:p>
    <w:p w14:paraId="7A44780E" w14:textId="77777777" w:rsidR="002C71CA" w:rsidRPr="002C71CA" w:rsidRDefault="002C71CA" w:rsidP="00341AB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SPDI Rules (for sensitive personal data)</w:t>
      </w:r>
    </w:p>
    <w:p w14:paraId="2FBEA839" w14:textId="77777777" w:rsidR="002C71CA" w:rsidRPr="002C71CA" w:rsidRDefault="002C71CA" w:rsidP="00341AB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DPDPA 2023 (for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personal data)</w:t>
      </w:r>
    </w:p>
    <w:p w14:paraId="40486534" w14:textId="77777777" w:rsidR="002C71CA" w:rsidRPr="002C71CA" w:rsidRDefault="002C71CA" w:rsidP="00341AB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clauses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processor-controller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relationships</w:t>
      </w:r>
      <w:proofErr w:type="spellEnd"/>
    </w:p>
    <w:p w14:paraId="345F5535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both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intersect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(e.g., a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trigger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both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and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violations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), companies must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address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both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areas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distinctly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instance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reporting under 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6 hours,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whereas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DPDPA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reporting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the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Board of India (DPBI)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delay after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becoming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aware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48549983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The Risk of Non-Compliance: Legal, Financial, and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Reputational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Fallout</w:t>
      </w:r>
    </w:p>
    <w:p w14:paraId="70920676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proactively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address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their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 face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significant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consequences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2D0ECED6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1.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Penalties</w:t>
      </w:r>
    </w:p>
    <w:p w14:paraId="2C21A5DC" w14:textId="77777777" w:rsidR="002C71CA" w:rsidRPr="002C71CA" w:rsidRDefault="002C71CA" w:rsidP="00341AB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Up to ₹5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offence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the IT Act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43A)</w:t>
      </w:r>
    </w:p>
    <w:p w14:paraId="21E4B2A7" w14:textId="77777777" w:rsidR="002C71CA" w:rsidRPr="002C71CA" w:rsidRDefault="002C71CA" w:rsidP="00341AB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Up to ₹250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the DPDPA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serious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contraventions</w:t>
      </w:r>
      <w:proofErr w:type="spellEnd"/>
    </w:p>
    <w:p w14:paraId="5DA68051" w14:textId="77777777" w:rsidR="002C71CA" w:rsidRPr="002C71CA" w:rsidRDefault="002C71CA" w:rsidP="00341AB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SEBI/RBI/IRDAI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also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impose</w:t>
      </w:r>
      <w:proofErr w:type="gram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suspend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licenses</w:t>
      </w:r>
      <w:proofErr w:type="spellEnd"/>
    </w:p>
    <w:p w14:paraId="5795807C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2.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Civil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Liability</w:t>
      </w:r>
    </w:p>
    <w:p w14:paraId="1D6F05D1" w14:textId="77777777" w:rsidR="002C71CA" w:rsidRPr="002C71CA" w:rsidRDefault="002C71CA" w:rsidP="00341AB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Clients or users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affected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initiate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claims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damages</w:t>
      </w:r>
      <w:proofErr w:type="spellEnd"/>
    </w:p>
    <w:p w14:paraId="473EE490" w14:textId="77777777" w:rsidR="002C71CA" w:rsidRPr="002C71CA" w:rsidRDefault="002C71CA" w:rsidP="00341AB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“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reasonable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security practices” can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constitute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negligence</w:t>
      </w:r>
      <w:proofErr w:type="spellEnd"/>
    </w:p>
    <w:p w14:paraId="52D346A5" w14:textId="77777777" w:rsidR="002C71CA" w:rsidRPr="002C71CA" w:rsidRDefault="002C71CA" w:rsidP="00341AB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claims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arise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from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handling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clauses</w:t>
      </w:r>
      <w:proofErr w:type="spellEnd"/>
    </w:p>
    <w:p w14:paraId="0E4A1C15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3.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Criminal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Exposure</w:t>
      </w:r>
      <w:proofErr w:type="spellEnd"/>
    </w:p>
    <w:p w14:paraId="4C2419EF" w14:textId="77777777" w:rsidR="002C71CA" w:rsidRPr="002C71CA" w:rsidRDefault="002C71CA" w:rsidP="00341AB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Directors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officers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face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criminal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charges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66 (hacking) or 72A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wrongful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disclosure) of the IT Act</w:t>
      </w:r>
    </w:p>
    <w:p w14:paraId="2003CA88" w14:textId="77777777" w:rsidR="002C71CA" w:rsidRPr="002C71CA" w:rsidRDefault="002C71CA" w:rsidP="00341AB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Non-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cooperation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can lead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prosecution</w:t>
      </w:r>
      <w:proofErr w:type="spellEnd"/>
    </w:p>
    <w:p w14:paraId="4C7D7BAD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4.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Reputational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Harm</w:t>
      </w:r>
      <w:proofErr w:type="spellEnd"/>
    </w:p>
    <w:p w14:paraId="04FE8580" w14:textId="77777777" w:rsidR="002C71CA" w:rsidRPr="002C71CA" w:rsidRDefault="002C71CA" w:rsidP="00341AB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Negative press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around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can lead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investor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backlash</w:t>
      </w:r>
      <w:proofErr w:type="spellEnd"/>
    </w:p>
    <w:p w14:paraId="33543753" w14:textId="77777777" w:rsidR="002C71CA" w:rsidRPr="002C71CA" w:rsidRDefault="002C71CA" w:rsidP="00341AB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Customers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abandon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platforms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insecure</w:t>
      </w:r>
      <w:proofErr w:type="spellEnd"/>
    </w:p>
    <w:p w14:paraId="40DB2AFE" w14:textId="77777777" w:rsidR="002C71CA" w:rsidRPr="002C71CA" w:rsidRDefault="002C71CA" w:rsidP="00341AB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 some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partners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terminate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citing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risk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exposure</w:t>
      </w:r>
      <w:proofErr w:type="spellEnd"/>
    </w:p>
    <w:p w14:paraId="330D22D3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Legal 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aside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 the impact on long-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term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 trust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investor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diligence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processes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significant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Non-compliance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today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also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affects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insurance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eligibility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cyber risk cover,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new underwriting standards.</w:t>
      </w:r>
    </w:p>
    <w:p w14:paraId="19FDB63F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Cybersecurity Compliance Checklist: Legal &amp; Technical Steps</w:t>
      </w:r>
    </w:p>
    <w:p w14:paraId="35454E34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Across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various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stages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growth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otherwise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eventually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themselves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navigating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grey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space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between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practical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IT controls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mandated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In India,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line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longer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blurred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codified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clear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protocols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adopt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-appropriate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measures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demonstrate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good-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faith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outlines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key steps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aiming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perfection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traceable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defensible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compliance.</w:t>
      </w:r>
    </w:p>
    <w:p w14:paraId="3ED5E706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1.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Appoint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a Data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&amp; IT Security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Officer</w:t>
      </w:r>
      <w:proofErr w:type="spellEnd"/>
    </w:p>
    <w:p w14:paraId="2F0CAB9F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Depending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kind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serviced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formally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designate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personnel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responsible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managing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and data compliance.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important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separate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roles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A 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Officer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(DPO)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typically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look after user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rights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frameworks,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queries under the Digital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Act, 2023. On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hand, a CISO or IT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officer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oversee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firewalls, server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configurations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 and access controls.</w:t>
      </w:r>
    </w:p>
    <w:p w14:paraId="1420AF75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like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NBFCs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insurers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appointing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officers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isn’t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optional.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otherwise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businesses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encouraged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establish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SPOC to handle day-to-day IT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step, in practice,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first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layer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a working cybersecurity compliance checklist.</w:t>
      </w:r>
    </w:p>
    <w:p w14:paraId="44F7D3ED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2.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Conduct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a Cybersecurity Risk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Assessment</w:t>
      </w:r>
      <w:proofErr w:type="spellEnd"/>
    </w:p>
    <w:p w14:paraId="7289FC51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Many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 do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realise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particularly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CERT-In and RBI,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regular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mapping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threats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tech-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driven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platforms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checking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systems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also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 points, and cloud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infrastructure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2A1ABBC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ideally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7F460BF5" w14:textId="77777777" w:rsidR="002C71CA" w:rsidRPr="002C71CA" w:rsidRDefault="002C71CA" w:rsidP="00341AB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Preparing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inventory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systems and endpoint devices.</w:t>
      </w:r>
    </w:p>
    <w:p w14:paraId="3D45ACD7" w14:textId="77777777" w:rsidR="002C71CA" w:rsidRPr="002C71CA" w:rsidRDefault="002C71CA" w:rsidP="00341AB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Running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vulnerability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assessments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outcomes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5049118" w14:textId="77777777" w:rsidR="002C71CA" w:rsidRPr="002C71CA" w:rsidRDefault="002C71CA" w:rsidP="00341AB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Reviewing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-party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exposure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(logins,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integration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keys).</w:t>
      </w:r>
    </w:p>
    <w:p w14:paraId="0B3F0928" w14:textId="77777777" w:rsidR="002C71CA" w:rsidRPr="002C71CA" w:rsidRDefault="002C71CA" w:rsidP="00341AB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Flagging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risks by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likelihood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business impact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just IT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severity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0C4F094B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  <w:t> </w:t>
      </w: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3. Draft &amp;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Implement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IT and Cybersecurity Policies</w:t>
      </w:r>
    </w:p>
    <w:p w14:paraId="4F2439D8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following policies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considered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3BCBE4C4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1.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Acceptable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Use Policy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employees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contractors).</w:t>
      </w: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br/>
        <w:t>2.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Incident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Plan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something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goes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wrong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br/>
        <w:t>3. Password &amp; Access Management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MFA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br/>
        <w:t>4. Device Use Policy (for laptops, BYOD, mobile access).</w:t>
      </w: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br/>
        <w:t>5.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 &amp; Data Transfer Policies.</w:t>
      </w:r>
    </w:p>
    <w:p w14:paraId="1814101E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one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ideally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version-controlled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approved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accessible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relevant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teams.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processed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cross-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border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additional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safeguards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54BB0B5D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4.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Ensure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Reporting Readiness</w:t>
      </w:r>
    </w:p>
    <w:p w14:paraId="26AFDF08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Under the CERT-In 2022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certain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types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incidents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must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reported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6 hours.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unauthorised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DDoS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attacks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affecting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mobile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applications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so on. The timelines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non-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negotiable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440BED21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avoid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last-minute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panic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do the following:</w:t>
      </w:r>
    </w:p>
    <w:p w14:paraId="1894DFCF" w14:textId="77777777" w:rsidR="002C71CA" w:rsidRPr="002C71CA" w:rsidRDefault="002C71CA" w:rsidP="00341AB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ready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reckoner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events.</w:t>
      </w:r>
    </w:p>
    <w:p w14:paraId="225AD35B" w14:textId="77777777" w:rsidR="002C71CA" w:rsidRPr="002C71CA" w:rsidRDefault="002C71CA" w:rsidP="00341AB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reporting lines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whom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116B04A8" w14:textId="77777777" w:rsidR="002C71CA" w:rsidRPr="002C71CA" w:rsidRDefault="002C71CA" w:rsidP="00341AB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Keep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logs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incidents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minor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519E5628" w14:textId="77777777" w:rsidR="002C71CA" w:rsidRPr="002C71CA" w:rsidRDefault="002C71CA" w:rsidP="00341AB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Review system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synchronisation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NTP servers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425C0E0E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 the event of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time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itself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attract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scrutiny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one of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critical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aspects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 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6093FA89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  <w:t> </w:t>
      </w: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5. Review and Secure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&amp; Outsourcing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Arrangements</w:t>
      </w:r>
      <w:proofErr w:type="spellEnd"/>
    </w:p>
    <w:p w14:paraId="27FF569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 DPDPA 2023 makes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abundantly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clear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primary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responsibility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the “data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fiduciary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,” i.e., the company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originally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collected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data,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processing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outsourced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09AA1CF4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rule, 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5E25694C" w14:textId="77777777" w:rsidR="002C71CA" w:rsidRPr="002C71CA" w:rsidRDefault="002C71CA" w:rsidP="00341AB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Include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notification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timelines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agreements.</w:t>
      </w:r>
    </w:p>
    <w:p w14:paraId="5C456C56" w14:textId="77777777" w:rsidR="002C71CA" w:rsidRPr="002C71CA" w:rsidRDefault="002C71CA" w:rsidP="00341AB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Request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) copies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audit reports;</w:t>
      </w:r>
    </w:p>
    <w:p w14:paraId="6E5A1660" w14:textId="77777777" w:rsidR="002C71CA" w:rsidRPr="002C71CA" w:rsidRDefault="002C71CA" w:rsidP="00341AB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Define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clear liability in the event of a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lapse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111959BD" w14:textId="77777777" w:rsidR="002C71CA" w:rsidRPr="002C71CA" w:rsidRDefault="002C71CA" w:rsidP="00341AB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maintains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logs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adheres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applicable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14945AB0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6.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Employee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Training &amp; Cyber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Hygiene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Programs</w:t>
      </w:r>
    </w:p>
    <w:p w14:paraId="1A67E02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Human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error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accounts for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majority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successful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attacks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across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employees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handling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sensitive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undergo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periodic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training,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something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must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evidenced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just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claimed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1E0F7703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Checklist items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here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</w:t>
      </w:r>
      <w:proofErr w:type="gram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52557A11" w14:textId="77777777" w:rsidR="002C71CA" w:rsidRPr="002C71CA" w:rsidRDefault="002C71CA" w:rsidP="00341AB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Sending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out regular cyber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hygiene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bulletins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monthly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quarterly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3438BF0F" w14:textId="77777777" w:rsidR="002C71CA" w:rsidRPr="002C71CA" w:rsidRDefault="002C71CA" w:rsidP="00341AB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Recording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attendance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awareness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sessions.</w:t>
      </w:r>
    </w:p>
    <w:p w14:paraId="000676F9" w14:textId="77777777" w:rsidR="002C71CA" w:rsidRPr="002C71CA" w:rsidRDefault="002C71CA" w:rsidP="00341AB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Conducting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phishing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simulation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exercises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results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130EDDBD" w14:textId="77777777" w:rsidR="002C71CA" w:rsidRPr="002C71CA" w:rsidRDefault="002C71CA" w:rsidP="00341AB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exiting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employees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surrender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</w:t>
      </w:r>
      <w:proofErr w:type="gram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credentials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C5D66BE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Auditors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often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ask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proof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steps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during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inspections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training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outsourced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review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taught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aligns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your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policies.</w:t>
      </w:r>
    </w:p>
    <w:p w14:paraId="663B484D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7.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Encryption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, Access Controls &amp; Endpoint Security</w:t>
      </w:r>
    </w:p>
    <w:p w14:paraId="0B51B254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concerns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technical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safeguards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user data.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business stores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transmits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form of sensitive personal data,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encryption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non-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negotiable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5832F9C2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Recommended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practices:</w:t>
      </w:r>
    </w:p>
    <w:p w14:paraId="36A47EFD" w14:textId="77777777" w:rsidR="002C71CA" w:rsidRPr="002C71CA" w:rsidRDefault="002C71CA" w:rsidP="00341AB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Encrypt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transit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using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standard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protocols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(e.g., AES-256, TLS 1.2+).</w:t>
      </w:r>
    </w:p>
    <w:p w14:paraId="5FA87EE2" w14:textId="77777777" w:rsidR="002C71CA" w:rsidRPr="002C71CA" w:rsidRDefault="002C71CA" w:rsidP="00341AB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role-based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enforce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multi-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factor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authentication (MFA).</w:t>
      </w:r>
    </w:p>
    <w:p w14:paraId="5E188F2C" w14:textId="77777777" w:rsidR="002C71CA" w:rsidRPr="002C71CA" w:rsidRDefault="002C71CA" w:rsidP="00341AB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Lock down access to servers, admin panels, and data repositories.</w:t>
      </w:r>
    </w:p>
    <w:p w14:paraId="6F397A7A" w14:textId="77777777" w:rsidR="002C71CA" w:rsidRPr="002C71CA" w:rsidRDefault="002C71CA" w:rsidP="00341AB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endpoint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employee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devices.</w:t>
      </w:r>
    </w:p>
    <w:p w14:paraId="0B1C7EF4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also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system.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logs come in,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must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retained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180 days under CERT-In.</w:t>
      </w:r>
    </w:p>
    <w:p w14:paraId="5F3F0804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8.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Maintain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a Cybersecurity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Incident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Response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Plan</w:t>
      </w:r>
    </w:p>
    <w:p w14:paraId="10237632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suspicious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activity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detected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minute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counts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written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incident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plan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concerned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people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informed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right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steps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followed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the situation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handled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guesswork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B7A0F7E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plan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54B11882" w14:textId="77777777" w:rsidR="002C71CA" w:rsidRPr="002C71CA" w:rsidRDefault="002C71CA" w:rsidP="00341AB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Escalation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tiers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contact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matrix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290614DC" w14:textId="77777777" w:rsidR="002C71CA" w:rsidRPr="002C71CA" w:rsidRDefault="002C71CA" w:rsidP="00341AB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Timeline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step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reporting,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containment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 recovery);</w:t>
      </w:r>
    </w:p>
    <w:p w14:paraId="695B0965" w14:textId="77777777" w:rsidR="002C71CA" w:rsidRPr="002C71CA" w:rsidRDefault="002C71CA" w:rsidP="00341AB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Draft templates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customer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notifications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648460D9" w14:textId="77777777" w:rsidR="002C71CA" w:rsidRPr="002C71CA" w:rsidRDefault="002C71CA" w:rsidP="00341AB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logbook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system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steps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taken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45845A05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  <w:t> </w:t>
      </w: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9.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Prepare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for a Data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Investigation</w:t>
      </w:r>
      <w:proofErr w:type="spellEnd"/>
    </w:p>
    <w:p w14:paraId="017E4EF5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occurs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priority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damage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equally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preserve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evidence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 logs, emails,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chats, backups,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notification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triggers.</w:t>
      </w:r>
    </w:p>
    <w:p w14:paraId="65A7B803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6E4B2EF8" w14:textId="77777777" w:rsidR="002C71CA" w:rsidRPr="002C71CA" w:rsidRDefault="002C71CA" w:rsidP="00341AB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Do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delete or alter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affected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systems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until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evidence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preserved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5555CA44" w14:textId="77777777" w:rsidR="002C71CA" w:rsidRPr="002C71CA" w:rsidRDefault="002C71CA" w:rsidP="00341AB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Coordinate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experts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forensic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573D7B60" w14:textId="77777777" w:rsidR="002C71CA" w:rsidRPr="002C71CA" w:rsidRDefault="002C71CA" w:rsidP="00341AB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writing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just </w:t>
      </w:r>
      <w:proofErr w:type="gram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email</w:t>
      </w:r>
      <w:proofErr w:type="gram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6CB3088F" w14:textId="77777777" w:rsidR="002C71CA" w:rsidRPr="002C71CA" w:rsidRDefault="002C71CA" w:rsidP="00341AB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user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communications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timelines,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reviews.</w:t>
      </w:r>
    </w:p>
    <w:p w14:paraId="2B5C4B5D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10.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Maintain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Audit and Compliance Reports</w:t>
      </w:r>
    </w:p>
    <w:p w14:paraId="0EC3FA8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Lastly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accountability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matters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 IT manager or 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consultant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regular review of controls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necessary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stay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aligned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changing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well-structured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cybersecurity audit checklist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ideally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0F6F4C1D" w14:textId="77777777" w:rsidR="002C71CA" w:rsidRPr="002C71CA" w:rsidRDefault="002C71CA" w:rsidP="00341AB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Log review and access control reports.</w:t>
      </w:r>
    </w:p>
    <w:p w14:paraId="3BC7AF0E" w14:textId="77777777" w:rsidR="002C71CA" w:rsidRPr="002C71CA" w:rsidRDefault="002C71CA" w:rsidP="00341AB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VPN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usage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tracking and cloud storage audits.</w:t>
      </w:r>
    </w:p>
    <w:p w14:paraId="7693809A" w14:textId="77777777" w:rsidR="002C71CA" w:rsidRPr="002C71CA" w:rsidRDefault="002C71CA" w:rsidP="00341AB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Policy review notes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onboarding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 exits, BYOD).</w:t>
      </w:r>
    </w:p>
    <w:p w14:paraId="13B98FF4" w14:textId="77777777" w:rsidR="002C71CA" w:rsidRPr="002C71CA" w:rsidRDefault="002C71CA" w:rsidP="00341AB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changes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systems post-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after audit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findings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50D44ECB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For businesses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approved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senior management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kept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record for 2–3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years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7BDFA2B3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Sector-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Specific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in India</w:t>
      </w:r>
    </w:p>
    <w:p w14:paraId="4D71AEE1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businesses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generally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central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 Information Technology Act, 2000, and 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situation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becomes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more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layered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a</w:t>
      </w:r>
      <w:proofErr w:type="gram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additional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frameworks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like the RBI, SEBI, and IRDAI, impose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supplementary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go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beyond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default national framework.</w:t>
      </w:r>
    </w:p>
    <w:p w14:paraId="1D4EBF56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entities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follow baseline security standards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conduct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sector-specific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audits,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submit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periodic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 reports, and in some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coordination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nodal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officers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Below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key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examples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plays out.</w:t>
      </w:r>
    </w:p>
    <w:p w14:paraId="710F18A9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RBI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for Banks and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NBFCs</w:t>
      </w:r>
      <w:proofErr w:type="spellEnd"/>
    </w:p>
    <w:p w14:paraId="6B32041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Banks and non-banking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financial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NBFCs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)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the Reserve Bank of India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the “Cyber Security Framework in Banks”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circular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2016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later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updates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through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Master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78D44B42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Some key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elements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03581FE3" w14:textId="77777777" w:rsidR="002C71CA" w:rsidRPr="002C71CA" w:rsidRDefault="002C71CA" w:rsidP="00341AB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Maintenance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a Board-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approved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policy.</w:t>
      </w:r>
    </w:p>
    <w:p w14:paraId="66CBF325" w14:textId="77777777" w:rsidR="002C71CA" w:rsidRPr="002C71CA" w:rsidRDefault="002C71CA" w:rsidP="00341AB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Deployment of Security Operations Centre (SOC)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either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through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managed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service providers.</w:t>
      </w:r>
    </w:p>
    <w:p w14:paraId="393BCEAC" w14:textId="77777777" w:rsidR="002C71CA" w:rsidRPr="002C71CA" w:rsidRDefault="002C71CA" w:rsidP="00341AB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Regular cyber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drills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-top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exercises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46747C78" w14:textId="77777777" w:rsidR="002C71CA" w:rsidRPr="002C71CA" w:rsidRDefault="002C71CA" w:rsidP="00341AB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Real-time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threat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intelligence sharing with RBI and CERT-In.</w:t>
      </w:r>
    </w:p>
    <w:p w14:paraId="7DD7D537" w14:textId="77777777" w:rsidR="002C71CA" w:rsidRPr="002C71CA" w:rsidRDefault="002C71CA" w:rsidP="00341AB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Reporting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unusual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incidents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specified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timelines.</w:t>
      </w:r>
    </w:p>
    <w:p w14:paraId="5C1BA613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RBI framework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one of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detailed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sector-specific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extensions of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central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businesses in India.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led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warnings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monetary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penalties, and in some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restrictions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onboarding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new customers.</w:t>
      </w:r>
    </w:p>
    <w:p w14:paraId="2BBF13ED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SEBI Cybersecurity Framework for Market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Intermediaries</w:t>
      </w:r>
      <w:proofErr w:type="spellEnd"/>
    </w:p>
    <w:p w14:paraId="5C6C2996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Securities and Exchange Board of India (SEBI)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comprehensive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framework on “Cyber Security &amp; Cyber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Resilience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”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applicable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stock brokers,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mutual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fund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platforms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market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infrastructure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institutions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MIIs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3C844C10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core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expectations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3A66E338" w14:textId="77777777" w:rsidR="002C71CA" w:rsidRPr="002C71CA" w:rsidRDefault="002C71CA" w:rsidP="00341AB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Appointment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Chief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Information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Officer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(CISO).</w:t>
      </w:r>
    </w:p>
    <w:p w14:paraId="1827BA48" w14:textId="77777777" w:rsidR="002C71CA" w:rsidRPr="002C71CA" w:rsidRDefault="002C71CA" w:rsidP="00341AB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Classification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systems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risk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categories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472214F4" w14:textId="77777777" w:rsidR="002C71CA" w:rsidRPr="002C71CA" w:rsidRDefault="002C71CA" w:rsidP="00341AB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multi-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factor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authentication.</w:t>
      </w:r>
    </w:p>
    <w:p w14:paraId="018AA258" w14:textId="77777777" w:rsidR="002C71CA" w:rsidRPr="002C71CA" w:rsidRDefault="002C71CA" w:rsidP="00341AB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Regular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vulnerability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assessment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patch management.</w:t>
      </w:r>
    </w:p>
    <w:p w14:paraId="3E82CB4E" w14:textId="77777777" w:rsidR="002C71CA" w:rsidRPr="002C71CA" w:rsidRDefault="002C71CA" w:rsidP="00341AB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Independent security audits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six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months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(minimum).</w:t>
      </w:r>
    </w:p>
    <w:p w14:paraId="3ABE582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over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above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the IT Act or SPDI Rules. The idea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systemic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risks to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financial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market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triggered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due to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lapse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intermediary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level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349069F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IRDAI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for Insurance Companies</w:t>
      </w:r>
    </w:p>
    <w:p w14:paraId="138FC08E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Insurance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Development Authority of India (IRDAI)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released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“Information and Cyber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” in 2017,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insurers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-party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administrators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TPAs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0CDAC34F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Key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mandates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3F835842" w14:textId="77777777" w:rsidR="002C71CA" w:rsidRPr="002C71CA" w:rsidRDefault="002C71CA" w:rsidP="00341AB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Maintenance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an Information Security Committee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chaired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the CEO or the senior-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officer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2CDDBC69" w14:textId="77777777" w:rsidR="002C71CA" w:rsidRPr="002C71CA" w:rsidRDefault="002C71CA" w:rsidP="00341AB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layered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architecture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5191D937" w14:textId="77777777" w:rsidR="002C71CA" w:rsidRPr="002C71CA" w:rsidRDefault="002C71CA" w:rsidP="00341AB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Annual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-party audit by 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empanelled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auditors.</w:t>
      </w:r>
    </w:p>
    <w:p w14:paraId="63470159" w14:textId="77777777" w:rsidR="002C71CA" w:rsidRPr="002C71CA" w:rsidRDefault="002C71CA" w:rsidP="00341AB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prevention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controls,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customer-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facing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portals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60BA287" w14:textId="77777777" w:rsidR="002C71CA" w:rsidRPr="002C71CA" w:rsidRDefault="002C71CA" w:rsidP="00341AB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Submission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reports and security audit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findings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IRDAI.</w:t>
      </w:r>
    </w:p>
    <w:p w14:paraId="7766DDCC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 Companies in the insurance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must integrate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their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cybersecurity compliance checklist,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context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health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financial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falls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 sensitive personal data.</w:t>
      </w:r>
    </w:p>
    <w:p w14:paraId="4057C343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  <w:t> </w:t>
      </w: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Healthcare Sector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Under DISHA (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Pending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)</w:t>
      </w:r>
    </w:p>
    <w:p w14:paraId="01EAA741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Digital Information Security in Healthcare Act (DISHA),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although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highlights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government’s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create a separate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framework for health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records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221F07C9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Key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1B7A7314" w14:textId="77777777" w:rsidR="002C71CA" w:rsidRPr="002C71CA" w:rsidRDefault="002C71CA" w:rsidP="00341AB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Strict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control over access to Electronic Health Records (EHR)</w:t>
      </w:r>
    </w:p>
    <w:p w14:paraId="439D9491" w14:textId="77777777" w:rsidR="002C71CA" w:rsidRPr="002C71CA" w:rsidRDefault="002C71CA" w:rsidP="00341AB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Specific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hospitals, clinics,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aggregators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handling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health data</w:t>
      </w:r>
    </w:p>
    <w:p w14:paraId="0F595166" w14:textId="77777777" w:rsidR="002C71CA" w:rsidRPr="002C71CA" w:rsidRDefault="002C71CA" w:rsidP="00341AB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Patient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protocols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data sharing</w:t>
      </w:r>
    </w:p>
    <w:p w14:paraId="70947DE9" w14:textId="77777777" w:rsidR="002C71CA" w:rsidRPr="002C71CA" w:rsidRDefault="002C71CA" w:rsidP="00341AB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Mandatory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reporting to the National Digital Health Authority</w:t>
      </w:r>
    </w:p>
    <w:p w14:paraId="0BAF34E8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E-Commerce and Telecom-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Specific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Security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Expectations</w:t>
      </w:r>
      <w:proofErr w:type="spellEnd"/>
    </w:p>
    <w:p w14:paraId="5B8D52E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Entities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the e-commerce, OTT,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telecom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subject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platform-specific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some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Ministry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Electronics and IT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), Department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Telecommunications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), and TRAI.</w:t>
      </w:r>
    </w:p>
    <w:p w14:paraId="57B2C268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Examples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7FD90318" w14:textId="77777777" w:rsidR="002C71CA" w:rsidRPr="002C71CA" w:rsidRDefault="002C71CA" w:rsidP="00341AB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mandate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licensees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logs of network activity for a minimum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period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43589E76" w14:textId="77777777" w:rsidR="002C71CA" w:rsidRPr="002C71CA" w:rsidRDefault="002C71CA" w:rsidP="00341AB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E-commerce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platforms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secure payments,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records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encrypt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customer data.</w:t>
      </w:r>
    </w:p>
    <w:p w14:paraId="39C4008A" w14:textId="77777777" w:rsidR="002C71CA" w:rsidRPr="002C71CA" w:rsidRDefault="002C71CA" w:rsidP="00341AB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OTT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platforms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asked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standardised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governance frameworks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alignment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the DPDPA 2023.</w:t>
      </w:r>
    </w:p>
    <w:p w14:paraId="2F5588A6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domains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their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compliance </w:t>
      </w:r>
      <w:proofErr w:type="spellStart"/>
      <w:proofErr w:type="gram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 are</w:t>
      </w:r>
      <w:proofErr w:type="gram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restricted to the IT Act alone.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impact licensing,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localisation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 and user trust.</w:t>
      </w:r>
    </w:p>
    <w:p w14:paraId="7F680BF6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UPCOMING TRENDS &amp; EVOLVING LEGAL RISKS</w:t>
      </w:r>
    </w:p>
    <w:p w14:paraId="559FDD65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Enforcement of DPDPA 2023: A New Era of Data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Responsibility</w:t>
      </w:r>
      <w:proofErr w:type="spellEnd"/>
    </w:p>
    <w:p w14:paraId="70FD3D49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 Digital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Act, 2023 (DPDPA)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created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standalone 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handling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personal data,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collected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from users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passed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through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E25124E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Key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upcoming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risks include:</w:t>
      </w:r>
    </w:p>
    <w:p w14:paraId="2F3C0CAF" w14:textId="77777777" w:rsidR="002C71CA" w:rsidRPr="002C71CA" w:rsidRDefault="002C71CA" w:rsidP="00341AB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Enforcement actions from the new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Board of India</w:t>
      </w:r>
    </w:p>
    <w:p w14:paraId="2DBF60F4" w14:textId="77777777" w:rsidR="002C71CA" w:rsidRPr="002C71CA" w:rsidRDefault="002C71CA" w:rsidP="00341AB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Introduction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standard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clauses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SCCs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 for data processors</w:t>
      </w:r>
    </w:p>
    <w:p w14:paraId="21F74024" w14:textId="77777777" w:rsidR="002C71CA" w:rsidRPr="002C71CA" w:rsidRDefault="002C71CA" w:rsidP="00341AB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Heavy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financial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penalties (up to ₹250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incident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</w:t>
      </w:r>
    </w:p>
    <w:p w14:paraId="25647434" w14:textId="77777777" w:rsidR="002C71CA" w:rsidRPr="002C71CA" w:rsidRDefault="002C71CA" w:rsidP="00341AB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Mandatory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classification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certain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“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Significant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Fiduciaries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”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volume and risk</w:t>
      </w:r>
    </w:p>
    <w:p w14:paraId="19CAC18A" w14:textId="77777777" w:rsidR="002C71CA" w:rsidRPr="002C71CA" w:rsidRDefault="002C71CA" w:rsidP="00341AB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specific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practice to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the Government</w:t>
      </w:r>
    </w:p>
    <w:p w14:paraId="126F8C06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major shift.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means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revisiting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policy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aligns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DPDPA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5C5B8131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Cross-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Border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Data Transfer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Restrictions</w:t>
      </w:r>
      <w:proofErr w:type="spellEnd"/>
    </w:p>
    <w:p w14:paraId="3D782BC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With the global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debate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sovereignty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escalating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placing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increased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emphasis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the storage, processing, and transfer of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beyond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national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borders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4634A8F1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Implications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6D42071B" w14:textId="77777777" w:rsidR="002C71CA" w:rsidRPr="002C71CA" w:rsidRDefault="002C71CA" w:rsidP="00341AB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localisation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certain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(e.g., banking, payments,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telecom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);</w:t>
      </w:r>
    </w:p>
    <w:p w14:paraId="191783AF" w14:textId="77777777" w:rsidR="002C71CA" w:rsidRPr="002C71CA" w:rsidRDefault="002C71CA" w:rsidP="00341AB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DPDPA-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restrictions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cross-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border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transfers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government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whitelist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36238134" w14:textId="77777777" w:rsidR="002C71CA" w:rsidRPr="002C71CA" w:rsidRDefault="002C71CA" w:rsidP="00341AB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clauses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outside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India;</w:t>
      </w:r>
    </w:p>
    <w:p w14:paraId="0B207D50" w14:textId="77777777" w:rsidR="002C71CA" w:rsidRPr="002C71CA" w:rsidRDefault="002C71CA" w:rsidP="00341AB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Potential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exposure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dual enforcement (India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jurisdiction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78741C3C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Businesses working with global cloud providers or processing international customer data must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adjust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their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 in India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accordingly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healthcare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196C1027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Cybersecurity Challenges with AI and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Autonomous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Systems</w:t>
      </w:r>
    </w:p>
    <w:p w14:paraId="61B4604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AI-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tools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widely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customer support, credit scoring, recruitment,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fraud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However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their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own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set of risks,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5FDED298" w14:textId="77777777" w:rsidR="002C71CA" w:rsidRPr="002C71CA" w:rsidRDefault="002C71CA" w:rsidP="00341AB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Black box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vulnerabilities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algorithmic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decision-making.</w:t>
      </w:r>
    </w:p>
    <w:p w14:paraId="0241F7A6" w14:textId="77777777" w:rsidR="002C71CA" w:rsidRPr="002C71CA" w:rsidRDefault="002C71CA" w:rsidP="00341AB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Exposure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adversarial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attacks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7C65A65" w14:textId="77777777" w:rsidR="002C71CA" w:rsidRPr="002C71CA" w:rsidRDefault="002C71CA" w:rsidP="00341AB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Risk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unauthorised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training on personal data.</w:t>
      </w:r>
    </w:p>
    <w:p w14:paraId="4F86AC49" w14:textId="77777777" w:rsidR="002C71CA" w:rsidRPr="002C71CA" w:rsidRDefault="002C71CA" w:rsidP="00341AB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Legal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questions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around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liability for AI-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driven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actions.</w:t>
      </w:r>
    </w:p>
    <w:p w14:paraId="7C8C43F5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authorities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beginning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attention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AI must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embed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privacy-by-design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their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tools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alignment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2C180D3C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Privacy-by-Design and Security-by-Design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Expectations</w:t>
      </w:r>
      <w:proofErr w:type="spellEnd"/>
    </w:p>
    <w:p w14:paraId="31C07A9C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Going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forward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mood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moving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away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from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reactive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enforcement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toward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proactive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design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mandates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402C74E9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048DD801" w14:textId="77777777" w:rsidR="002C71CA" w:rsidRPr="002C71CA" w:rsidRDefault="002C71CA" w:rsidP="00341AB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Conducting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Impact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Assessments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DPIAs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50A44B2B" w14:textId="77777777" w:rsidR="002C71CA" w:rsidRPr="002C71CA" w:rsidRDefault="002C71CA" w:rsidP="00341AB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Embedding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controls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product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application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design.</w:t>
      </w:r>
    </w:p>
    <w:p w14:paraId="49E4A249" w14:textId="77777777" w:rsidR="002C71CA" w:rsidRPr="002C71CA" w:rsidRDefault="002C71CA" w:rsidP="00341AB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Using privacy-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enhancing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technologies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6332B969" w14:textId="77777777" w:rsidR="002C71CA" w:rsidRPr="002C71CA" w:rsidRDefault="002C71CA" w:rsidP="00341AB0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Setting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design review checkpoints for new systems.</w:t>
      </w:r>
    </w:p>
    <w:p w14:paraId="2BFFEAC1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concepts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become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central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compliance strategy. 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treat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baseline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components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well-integrated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 cybersecurity compliance checklist.</w:t>
      </w:r>
    </w:p>
    <w:p w14:paraId="13DDC063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Penalties for Non-Compliance: Legal &amp; Financial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Exposure</w:t>
      </w:r>
      <w:proofErr w:type="spellEnd"/>
    </w:p>
    <w:p w14:paraId="3D2A5A60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cost of non-compliance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matters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over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few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years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shifted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from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reputational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risk to full-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fledged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financial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exposure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longer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treat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lapses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delayed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notifications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department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lapses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governance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oversight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true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sensitive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collected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processed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transferred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regularly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1CD9E87F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From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administrative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the Digital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Act, 2023,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criminal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prosecution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the Information Technology Act, 2000, 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face multi-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layered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risk.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exposure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limited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business, client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claims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audit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sometimes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Board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scrutiny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6EB91EE2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Fines under the Digital Personal Data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Act, 2023 (DPDPA)</w:t>
      </w:r>
    </w:p>
    <w:p w14:paraId="4EE2C0A2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DPDPA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introduces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separate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chapter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penalties.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empowers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Board of India to impose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significant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fiduciaries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processors.</w:t>
      </w:r>
    </w:p>
    <w:p w14:paraId="6C04DC58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1185FF7A" w14:textId="77777777" w:rsidR="002C71CA" w:rsidRPr="002C71CA" w:rsidRDefault="002C71CA" w:rsidP="00341AB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A maximum penalty of ₹250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reasonable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safeguards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5CA6A730" w14:textId="77777777" w:rsidR="002C71CA" w:rsidRPr="002C71CA" w:rsidRDefault="002C71CA" w:rsidP="00341AB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₹200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children’s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processing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0068BB4D" w14:textId="77777777" w:rsidR="002C71CA" w:rsidRPr="002C71CA" w:rsidRDefault="002C71CA" w:rsidP="00341AB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₹150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non-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fulfilment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principal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rights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;</w:t>
      </w:r>
    </w:p>
    <w:p w14:paraId="4CE62ACD" w14:textId="77777777" w:rsidR="002C71CA" w:rsidRPr="002C71CA" w:rsidRDefault="002C71CA" w:rsidP="00341AB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“Per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instance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” penalty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structure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meaning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repeated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can lead to cumulative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3504CC4C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businesses assume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unless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affects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thousands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users, enforcement risk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low.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incorrect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designed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penalise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poor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systems,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just large-scale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cybersecurity compliance checklist must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treat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DPDPA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central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statute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141E4EF6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Liability under the Information Technology Act, 2000</w:t>
      </w:r>
    </w:p>
    <w:p w14:paraId="69C7F48D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DPDPA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forward-looking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IT Act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continues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be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primary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penalising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cybersecurity.</w:t>
      </w:r>
    </w:p>
    <w:p w14:paraId="36FDC67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Key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40B3F676" w14:textId="77777777" w:rsidR="002C71CA" w:rsidRPr="002C71CA" w:rsidRDefault="002C71CA" w:rsidP="00341AB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43A: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Compensation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 sensitive personal data.</w:t>
      </w:r>
    </w:p>
    <w:p w14:paraId="5302D2ED" w14:textId="77777777" w:rsidR="002C71CA" w:rsidRPr="002C71CA" w:rsidRDefault="002C71CA" w:rsidP="00341AB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66: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Criminal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liability for hacking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unauthorised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 (up to 3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years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’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imprisonment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).</w:t>
      </w:r>
    </w:p>
    <w:p w14:paraId="2E62A192" w14:textId="77777777" w:rsidR="002C71CA" w:rsidRPr="002C71CA" w:rsidRDefault="002C71CA" w:rsidP="00341AB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72A: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Punishment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disclosure of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18DD1EDB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already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invoked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enforcement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involving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telecom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companies, credit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agencies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BPOs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Courts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interpreted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“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reasonable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security practices” under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43A to include audit logs, access controls,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encryption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protocols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75F56F9A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Contractual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Liability and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Indemnification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Exposure</w:t>
      </w:r>
      <w:proofErr w:type="spellEnd"/>
    </w:p>
    <w:p w14:paraId="63C7620D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 businesses,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exchanged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accessed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proper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controls can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result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gram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a</w:t>
      </w:r>
      <w:proofErr w:type="gram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73097758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Scenarios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include:</w:t>
      </w:r>
    </w:p>
    <w:p w14:paraId="4D345704" w14:textId="77777777" w:rsidR="002C71CA" w:rsidRPr="002C71CA" w:rsidRDefault="002C71CA" w:rsidP="00341AB0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client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agreed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window.</w:t>
      </w:r>
    </w:p>
    <w:p w14:paraId="6BFB0B71" w14:textId="77777777" w:rsidR="002C71CA" w:rsidRPr="002C71CA" w:rsidRDefault="002C71CA" w:rsidP="00341AB0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Processing of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encryption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access controls.</w:t>
      </w:r>
    </w:p>
    <w:p w14:paraId="18F2E9D6" w14:textId="77777777" w:rsidR="002C71CA" w:rsidRPr="002C71CA" w:rsidRDefault="002C71CA" w:rsidP="00341AB0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Non-compliance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audit or reporting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A016CEB" w14:textId="77777777" w:rsidR="002C71CA" w:rsidRPr="002C71CA" w:rsidRDefault="002C71CA" w:rsidP="00341AB0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Lack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alignment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foreign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working with offshore clients.</w:t>
      </w:r>
    </w:p>
    <w:p w14:paraId="63BC335C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standard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indemnity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clause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agreements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today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compensate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just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also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business disruption, brand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damage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client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litigation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460B2EE8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 practice,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risks can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surpass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direct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penalties under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 must include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review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parallel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stream.</w:t>
      </w:r>
    </w:p>
    <w:p w14:paraId="361355FF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Criminal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Exposure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and Personal Liability</w:t>
      </w:r>
    </w:p>
    <w:p w14:paraId="1ED6D7B4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widely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known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lapses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result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personal liability,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handled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recklessly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reports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deliberately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suppressed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31DD37B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following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1A46ED47" w14:textId="77777777" w:rsidR="002C71CA" w:rsidRPr="002C71CA" w:rsidRDefault="002C71CA" w:rsidP="00341AB0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66 (IT Act): Up to 3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years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’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imprisonment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unauthorised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access.</w:t>
      </w:r>
    </w:p>
    <w:p w14:paraId="2E097D3C" w14:textId="77777777" w:rsidR="002C71CA" w:rsidRPr="002C71CA" w:rsidRDefault="002C71CA" w:rsidP="00341AB0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72A (IT Act): Up to 2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years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’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imprisonment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wrongful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disclosure.</w:t>
      </w:r>
    </w:p>
    <w:p w14:paraId="3D16225E" w14:textId="77777777" w:rsidR="002C71CA" w:rsidRPr="002C71CA" w:rsidRDefault="002C71CA" w:rsidP="00341AB0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Directors can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held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accountable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certain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the Companies Act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lapses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amount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negligence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governance.</w:t>
      </w:r>
    </w:p>
    <w:p w14:paraId="15313323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enforcement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come in the form of show-cause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license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suspensions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naming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shaming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orders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Legal teams must stay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closely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aligned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IT and 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departments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particularly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crises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1B838807" w14:textId="77777777" w:rsidR="002C71CA" w:rsidRPr="002C71CA" w:rsidRDefault="002C71CA" w:rsidP="00341AB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262626"/>
          <w:kern w:val="0"/>
          <w:sz w:val="36"/>
          <w:szCs w:val="36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 Business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>Consequences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6"/>
          <w:szCs w:val="36"/>
          <w:lang w:eastAsia="it-IT"/>
          <w14:ligatures w14:val="none"/>
        </w:rPr>
        <w:t xml:space="preserve"> Beyond Legal Fines</w:t>
      </w:r>
    </w:p>
    <w:p w14:paraId="200644DE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Apart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from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formal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penalties, cybersecurity non-compliances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often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lead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longer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-lasting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consequences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2B8CC7B3" w14:textId="77777777" w:rsidR="002C71CA" w:rsidRPr="002C71CA" w:rsidRDefault="002C71CA" w:rsidP="00341AB0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Decline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client trust;</w:t>
      </w:r>
    </w:p>
    <w:p w14:paraId="52D5E9B4" w14:textId="77777777" w:rsidR="002C71CA" w:rsidRPr="002C71CA" w:rsidRDefault="002C71CA" w:rsidP="00341AB0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Problems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investor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due diligence rounds;</w:t>
      </w:r>
    </w:p>
    <w:p w14:paraId="737389C3" w14:textId="77777777" w:rsidR="002C71CA" w:rsidRPr="002C71CA" w:rsidRDefault="002C71CA" w:rsidP="00341AB0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Increase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cyber insurance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premiums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denial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cover;</w:t>
      </w:r>
    </w:p>
    <w:p w14:paraId="3278E2D8" w14:textId="77777777" w:rsidR="002C71CA" w:rsidRPr="002C71CA" w:rsidRDefault="002C71CA" w:rsidP="00341AB0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Public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scrutiny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social media or media leaks;</w:t>
      </w:r>
    </w:p>
    <w:p w14:paraId="62A34C9D" w14:textId="77777777" w:rsidR="002C71CA" w:rsidRPr="002C71CA" w:rsidRDefault="002C71CA" w:rsidP="00341AB0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Potential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downgrading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reliability rankings.</w:t>
      </w:r>
    </w:p>
    <w:p w14:paraId="2DBEFC34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consequences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show up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affect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business’s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bottom line. </w:t>
      </w:r>
      <w:proofErr w:type="spellStart"/>
      <w:proofErr w:type="gram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Integrating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such</w:t>
      </w:r>
      <w:proofErr w:type="spellEnd"/>
      <w:proofErr w:type="gram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overall governance policy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commercial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necessity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checkbox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tbl>
      <w:tblPr>
        <w:tblpPr w:leftFromText="141" w:rightFromText="141" w:vertAnchor="text" w:horzAnchor="margin" w:tblpXSpec="center" w:tblpY="351"/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921"/>
        <w:gridCol w:w="3280"/>
        <w:gridCol w:w="3036"/>
      </w:tblGrid>
      <w:tr w:rsidR="00341AB0" w:rsidRPr="002C71CA" w14:paraId="638B7E14" w14:textId="77777777" w:rsidTr="00341AB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CDEFA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Compliance 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2CAC0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 xml:space="preserve">Legal Source /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Guideline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90EDB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Recommended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 xml:space="preserve"> 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B98A3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 xml:space="preserve">Frequency /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Documentation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Required</w:t>
            </w:r>
            <w:proofErr w:type="spellEnd"/>
          </w:p>
        </w:tc>
      </w:tr>
      <w:tr w:rsidR="00341AB0" w:rsidRPr="002C71CA" w14:paraId="33245721" w14:textId="77777777" w:rsidTr="00341A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0AF70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Data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Protection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Officer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Appointment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74449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DPDPA 2023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3943C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Appoint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DPO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if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classified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Significant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Data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Fiduciary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ABB67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At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least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annually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, Board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sign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-off on action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taken</w:t>
            </w:r>
            <w:proofErr w:type="spellEnd"/>
          </w:p>
        </w:tc>
      </w:tr>
      <w:tr w:rsidR="00341AB0" w:rsidRPr="002C71CA" w14:paraId="52A42F8F" w14:textId="77777777" w:rsidTr="00341A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F585F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Breach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Notification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Protocols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DDDA5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CERT-In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Guidelines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, DPDPA 2023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CF86D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Notify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breaches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within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6 hours (CERT-In);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reasonable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time (DPDPA)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3669B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Maintain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incident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response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playbook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regulator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gram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email</w:t>
            </w:r>
            <w:proofErr w:type="gram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drafts</w:t>
            </w:r>
          </w:p>
        </w:tc>
      </w:tr>
      <w:tr w:rsidR="00341AB0" w:rsidRPr="002C71CA" w14:paraId="63B8426F" w14:textId="77777777" w:rsidTr="00341A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16653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Cybersecurity Policies (IT, AUP, IRP)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F7524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IT Act,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Sectoral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Guidelines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, DPDPA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DAAA3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Document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and circulate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formal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policies to staff/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vendors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810C6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Annual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review; Store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signed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acceptance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and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version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control</w:t>
            </w:r>
          </w:p>
        </w:tc>
      </w:tr>
      <w:tr w:rsidR="00341AB0" w:rsidRPr="002C71CA" w14:paraId="67D69A85" w14:textId="77777777" w:rsidTr="00341A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9999B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Vendor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Contracts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and Due Diligence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69DC2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DPDPA,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Contract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Law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EFC22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Add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breach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clauses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indemnity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, and audit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B8A55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Onboarding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and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annual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review; Archive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signed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agreements</w:t>
            </w:r>
          </w:p>
        </w:tc>
      </w:tr>
      <w:tr w:rsidR="00341AB0" w:rsidRPr="002C71CA" w14:paraId="7AE0C40D" w14:textId="77777777" w:rsidTr="00341A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2D0A3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Risk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Assessments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&amp;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Vulnerability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Scan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ABB68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RBI/SEBI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Circulars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, CERT-In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Guidelines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4557B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Run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and record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scans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remediate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gaps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01B37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Quarterly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or bi-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annual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;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Preserve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final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reports and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responses</w:t>
            </w:r>
            <w:proofErr w:type="spellEnd"/>
          </w:p>
        </w:tc>
      </w:tr>
      <w:tr w:rsidR="00341AB0" w:rsidRPr="002C71CA" w14:paraId="447698D5" w14:textId="77777777" w:rsidTr="00341A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13F8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Employee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Training on Cyber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Hygiene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0E47D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Sectoral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Guidelines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, DPDPA 2023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A6F9F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Phishing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simulations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awareness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sessions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8E2ED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Bi-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annual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minimum;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Attendance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logs and training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material</w:t>
            </w:r>
            <w:proofErr w:type="spellEnd"/>
          </w:p>
        </w:tc>
      </w:tr>
      <w:tr w:rsidR="00341AB0" w:rsidRPr="002C71CA" w14:paraId="5B99FA1E" w14:textId="77777777" w:rsidTr="00341A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1EB17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Encryption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&amp; Access Controls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47E50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SPDI Rules, CERT-In, DPDPA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E9C4C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Encrypt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PII,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enforce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MFA and RBAC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F1CA1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Ongoing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; Record tech logs and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internal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IT reviews</w:t>
            </w:r>
          </w:p>
        </w:tc>
      </w:tr>
      <w:tr w:rsidR="00341AB0" w:rsidRPr="002C71CA" w14:paraId="59251C38" w14:textId="77777777" w:rsidTr="00341A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D427E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lastRenderedPageBreak/>
              <w:t>Internal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Cybersecurity Audit Reports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CB457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Sectoral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Requirements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(RBI, IRDAI, SEBI), Company Policy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F3BE7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Conduct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internal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third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-party audits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A0601" w14:textId="77777777" w:rsidR="00341AB0" w:rsidRPr="002C71CA" w:rsidRDefault="00341AB0" w:rsidP="00341AB0">
            <w:pPr>
              <w:spacing w:after="37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At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least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annually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, the Board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signs</w:t>
            </w:r>
            <w:proofErr w:type="spellEnd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 xml:space="preserve"> off on action </w:t>
            </w:r>
            <w:proofErr w:type="spellStart"/>
            <w:r w:rsidRPr="002C71CA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taken</w:t>
            </w:r>
            <w:proofErr w:type="spellEnd"/>
          </w:p>
        </w:tc>
      </w:tr>
    </w:tbl>
    <w:p w14:paraId="12DE1037" w14:textId="7FB87199" w:rsidR="002C71CA" w:rsidRPr="002C71CA" w:rsidRDefault="00341AB0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</w:t>
      </w:r>
      <w:r w:rsidR="002C71CA"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Checklist </w:t>
      </w:r>
      <w:proofErr w:type="spellStart"/>
      <w:r w:rsidR="002C71CA"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Summary</w:t>
      </w:r>
      <w:proofErr w:type="spellEnd"/>
      <w:r w:rsidR="002C71CA"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</w:t>
      </w:r>
      <w:proofErr w:type="spellStart"/>
      <w:r w:rsidR="002C71CA"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Table</w:t>
      </w:r>
      <w:proofErr w:type="spellEnd"/>
      <w:r w:rsidR="002C71CA"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: Cybersecurity Compliance Essentials</w:t>
      </w:r>
    </w:p>
    <w:p w14:paraId="6C20BFBB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following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summarises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core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items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businesses must track on 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ongoing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can serve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live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tool for audits and board reporting.</w:t>
      </w:r>
    </w:p>
    <w:p w14:paraId="3F685A27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update the frequency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columns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team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capacity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7BAA8C73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Conclusion</w:t>
      </w:r>
      <w:proofErr w:type="spellEnd"/>
    </w:p>
    <w:p w14:paraId="58DB0060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 practice,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still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treat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like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backend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until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something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breaks. But by the time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there’s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worse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already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too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late to build a 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process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from scratch.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environment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today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isn’t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few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years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ago;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more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proactive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enforcement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picked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up, and the general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expectation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already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minimum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safeguards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place.</w:t>
      </w:r>
    </w:p>
    <w:p w14:paraId="64AA5297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be good practice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moved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realm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across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fintech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firm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onboarding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users, a hospital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digitising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patient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records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or a D2C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platform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managing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order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databases.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deals with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systems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build some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kind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program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ticks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technical,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boxes.</w:t>
      </w:r>
    </w:p>
    <w:p w14:paraId="752F6463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 Digital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Act, 2023,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raised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stakes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further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With a penalty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structure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goes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high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₹250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non-compliance, 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can’t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informal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IT setups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verbal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assurances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anymore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likely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satisfied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ask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means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 audit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trail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log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preservation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proof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or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version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the IT policy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circulated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staff last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year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ability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show,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just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matter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62B1BA2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Some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practical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measures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consider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checklist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keep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shelf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live framework:</w:t>
      </w:r>
    </w:p>
    <w:p w14:paraId="2ECFDE75" w14:textId="77777777" w:rsidR="002C71CA" w:rsidRPr="002C71CA" w:rsidRDefault="002C71CA" w:rsidP="00341AB0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Start with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basic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cybersecurity compliance checklist,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preferably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adapted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company’s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actual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Avoid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templatised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formats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don’t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reflect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data flows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ecosystem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779608B7" w14:textId="77777777" w:rsidR="002C71CA" w:rsidRPr="002C71CA" w:rsidRDefault="002C71CA" w:rsidP="00341AB0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Set up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calendar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quarterly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reviews.</w:t>
      </w:r>
    </w:p>
    <w:p w14:paraId="51D948FE" w14:textId="77777777" w:rsidR="002C71CA" w:rsidRPr="002C71CA" w:rsidRDefault="002C71CA" w:rsidP="00341AB0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 xml:space="preserve">Review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existing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client-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facing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identify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obligations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signed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up for,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they’re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practice.</w:t>
      </w:r>
    </w:p>
    <w:p w14:paraId="17D22380" w14:textId="77777777" w:rsidR="002C71CA" w:rsidRPr="002C71CA" w:rsidRDefault="002C71CA" w:rsidP="00341AB0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company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rapid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growth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past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12–18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months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take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fresh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look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onboarding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offboarding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processes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especially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shared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drives, cloud systems, and customer data.</w:t>
      </w:r>
    </w:p>
    <w:p w14:paraId="73A89633" w14:textId="77777777" w:rsidR="002C71CA" w:rsidRPr="002C71CA" w:rsidRDefault="002C71CA" w:rsidP="00341AB0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For cross-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border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activities, check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logs, policies,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approvals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in place.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companies use SaaS tools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store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overseas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matter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DPDPA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client due diligence.</w:t>
      </w:r>
    </w:p>
    <w:p w14:paraId="25972547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At the end of the day, cybersecurity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businesses in India 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aren’t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just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preventing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hacks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They’re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about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creating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systems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work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things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go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wrong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eventually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accidental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leak,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malicious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insider, or a zero-day exploit, the 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survive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recover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the ready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perfect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327DED49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So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there’s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practical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takeaway from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simple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: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don’t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wait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out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your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policy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says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Build a framework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works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you’re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under pressure.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 looks like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2404D0DA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Frequently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Asked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Questions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 (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FAQs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)</w:t>
      </w:r>
    </w:p>
    <w:p w14:paraId="67CD1209" w14:textId="77777777" w:rsidR="002C71CA" w:rsidRPr="002C71CA" w:rsidRDefault="002C71CA" w:rsidP="00341AB0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262626"/>
          <w:kern w:val="0"/>
          <w:sz w:val="38"/>
          <w:szCs w:val="38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 1.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laws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govern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cybersecurity in India?</w:t>
      </w:r>
    </w:p>
    <w:p w14:paraId="4139D11D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primary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statutes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the Information Technology Act, 2000 (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amended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2008), the 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Guidelines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(April 2022), and the Digital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Act, 2023.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Depending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businesses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also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comply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RBI, SEBI, or IRDAI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circulars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62182A50" w14:textId="77777777" w:rsidR="002C71CA" w:rsidRPr="002C71CA" w:rsidRDefault="002C71CA" w:rsidP="00341AB0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262626"/>
          <w:kern w:val="0"/>
          <w:sz w:val="38"/>
          <w:szCs w:val="38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 2.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the DPDPA 2023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applicable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businesses?</w:t>
      </w:r>
    </w:p>
    <w:p w14:paraId="541C24AA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Yes. The DPDPA 2023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 processing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digital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personal data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individuals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India.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e-commerce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platforms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financial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apps, SaaS providers, service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non-tech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organisations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collect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employee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customer information.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introduces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central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set of 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applicable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both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fiduciaries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processors.</w:t>
      </w:r>
    </w:p>
    <w:p w14:paraId="56B77349" w14:textId="77777777" w:rsidR="002C71CA" w:rsidRPr="002C71CA" w:rsidRDefault="002C71CA" w:rsidP="00341AB0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262626"/>
          <w:kern w:val="0"/>
          <w:sz w:val="38"/>
          <w:szCs w:val="38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 3.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the CERT-In 6-hour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rule?</w:t>
      </w:r>
    </w:p>
    <w:p w14:paraId="56CE9614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CERT-In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certain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types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cyber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incidents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(e.g.,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unauthorized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access, system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hacks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DDoS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attacks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)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reported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within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six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hours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one of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shortest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notification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windows in the world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enforceable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VPN providers, data centres, cloud service providers,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specified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entities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rule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key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inclusion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 cybersecurity compliance checklist.</w:t>
      </w:r>
    </w:p>
    <w:p w14:paraId="4E605FF2" w14:textId="77777777" w:rsidR="002C71CA" w:rsidRPr="002C71CA" w:rsidRDefault="002C71CA" w:rsidP="00341AB0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262626"/>
          <w:kern w:val="0"/>
          <w:sz w:val="38"/>
          <w:szCs w:val="38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 4.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What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are the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common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mistakes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businesses make?</w:t>
      </w:r>
    </w:p>
    <w:p w14:paraId="624DA938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most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common compliance gaps include:</w:t>
      </w:r>
    </w:p>
    <w:p w14:paraId="5861AF2C" w14:textId="77777777" w:rsidR="002C71CA" w:rsidRPr="002C71CA" w:rsidRDefault="002C71CA" w:rsidP="00341AB0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Lack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of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written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policies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procedures</w:t>
      </w:r>
      <w:proofErr w:type="spellEnd"/>
    </w:p>
    <w:p w14:paraId="3689FF0E" w14:textId="77777777" w:rsidR="002C71CA" w:rsidRPr="002C71CA" w:rsidRDefault="002C71CA" w:rsidP="00341AB0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Incomplete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outdated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contracts</w:t>
      </w:r>
      <w:proofErr w:type="spellEnd"/>
    </w:p>
    <w:p w14:paraId="670A8E48" w14:textId="77777777" w:rsidR="002C71CA" w:rsidRPr="002C71CA" w:rsidRDefault="002C71CA" w:rsidP="00341AB0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Not training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employees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cyber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hygiene</w:t>
      </w:r>
      <w:proofErr w:type="spellEnd"/>
    </w:p>
    <w:p w14:paraId="1B0143F7" w14:textId="77777777" w:rsidR="002C71CA" w:rsidRPr="002C71CA" w:rsidRDefault="002C71CA" w:rsidP="00341AB0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maintain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audit logs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access control</w:t>
      </w:r>
    </w:p>
    <w:p w14:paraId="1A990C1C" w14:textId="77777777" w:rsidR="002C71CA" w:rsidRPr="002C71CA" w:rsidRDefault="002C71CA" w:rsidP="00341AB0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Delays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notifying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affected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parties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during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breaches</w:t>
      </w:r>
      <w:proofErr w:type="spellEnd"/>
    </w:p>
    <w:p w14:paraId="7C725C8B" w14:textId="77777777" w:rsidR="002C71CA" w:rsidRPr="002C71CA" w:rsidRDefault="002C71CA" w:rsidP="00341AB0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262626"/>
          <w:kern w:val="0"/>
          <w:sz w:val="38"/>
          <w:szCs w:val="38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5. Can directors be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held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personally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liable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for cybersecurity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lapses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?</w:t>
      </w:r>
    </w:p>
    <w:p w14:paraId="4A55408C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Yes.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company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found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have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negligently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“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reasonable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security practices”, directors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exposed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penalties under the IT Act 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other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corporate governance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The Companies Act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also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allows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authorities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hold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directors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accountable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failure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internal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controls.</w:t>
      </w:r>
    </w:p>
    <w:p w14:paraId="439A2508" w14:textId="77777777" w:rsidR="002C71CA" w:rsidRPr="002C71CA" w:rsidRDefault="002C71CA" w:rsidP="00341AB0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262626"/>
          <w:kern w:val="0"/>
          <w:sz w:val="38"/>
          <w:szCs w:val="38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6. Does outsourcing IT or data processing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remove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liability?</w:t>
      </w:r>
    </w:p>
    <w:p w14:paraId="0B8B8C82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No. Under the DPDPA 2023, the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fiduciary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(i.e.,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primary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collecting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data)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remains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responsible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if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processing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outsourced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makes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due diligence,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clauses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ongoing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monitoring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critical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 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framework must include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third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-party risk management.</w:t>
      </w:r>
    </w:p>
    <w:p w14:paraId="039A2096" w14:textId="77777777" w:rsidR="002C71CA" w:rsidRPr="002C71CA" w:rsidRDefault="002C71CA" w:rsidP="00341AB0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262626"/>
          <w:kern w:val="0"/>
          <w:sz w:val="38"/>
          <w:szCs w:val="38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7. Are small and medium businesses (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SMBs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)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exempt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from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these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laws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?</w:t>
      </w:r>
    </w:p>
    <w:p w14:paraId="4AE0C74D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no blanket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exemptions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SMBs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While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smaller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companies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classified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“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Significant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Fiduciaries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” under the DPDPA,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still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subject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core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provisions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consent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security,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notification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startups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mid-sized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entities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serve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clients, so compliance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often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contractually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before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statutory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thresholds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kick in.</w:t>
      </w:r>
    </w:p>
    <w:p w14:paraId="2C4AA047" w14:textId="77777777" w:rsidR="002C71CA" w:rsidRPr="002C71CA" w:rsidRDefault="002C71CA" w:rsidP="00341AB0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262626"/>
          <w:kern w:val="0"/>
          <w:sz w:val="38"/>
          <w:szCs w:val="38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8. How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often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companies update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their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 xml:space="preserve"> cybersecurity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documentation</w:t>
      </w:r>
      <w:proofErr w:type="spellEnd"/>
      <w:r w:rsidRPr="002C71CA">
        <w:rPr>
          <w:rFonts w:ascii="Arial" w:eastAsia="Times New Roman" w:hAnsi="Arial" w:cs="Arial"/>
          <w:b/>
          <w:bCs/>
          <w:color w:val="262626"/>
          <w:kern w:val="0"/>
          <w:sz w:val="38"/>
          <w:szCs w:val="38"/>
          <w:lang w:eastAsia="it-IT"/>
          <w14:ligatures w14:val="none"/>
        </w:rPr>
        <w:t>?</w:t>
      </w:r>
    </w:p>
    <w:p w14:paraId="45F38C53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At a minimum,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cybersecurity and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documents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be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reviewed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annually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However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major system update,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regulatory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notification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or business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expansion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should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trigger an immediate review.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policies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encryption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data access,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breach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reporting,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vendor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engagement.</w:t>
      </w:r>
    </w:p>
    <w:p w14:paraId="2B5B1F66" w14:textId="77777777" w:rsidR="002C71CA" w:rsidRPr="002C71CA" w:rsidRDefault="002C71CA" w:rsidP="00341AB0">
      <w:pPr>
        <w:spacing w:before="168" w:after="168" w:line="240" w:lineRule="auto"/>
        <w:jc w:val="both"/>
        <w:outlineLvl w:val="1"/>
        <w:rPr>
          <w:rFonts w:ascii="Arial" w:eastAsia="Times New Roman" w:hAnsi="Arial" w:cs="Arial"/>
          <w:color w:val="262626"/>
          <w:kern w:val="0"/>
          <w:sz w:val="42"/>
          <w:szCs w:val="42"/>
          <w:lang w:eastAsia="it-IT"/>
          <w14:ligatures w14:val="none"/>
        </w:rPr>
      </w:pPr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 xml:space="preserve">About </w:t>
      </w:r>
      <w:proofErr w:type="spellStart"/>
      <w:r w:rsidRPr="002C71CA">
        <w:rPr>
          <w:rFonts w:ascii="Arial" w:eastAsia="Times New Roman" w:hAnsi="Arial" w:cs="Arial"/>
          <w:b/>
          <w:bCs/>
          <w:color w:val="262626"/>
          <w:kern w:val="0"/>
          <w:sz w:val="42"/>
          <w:szCs w:val="42"/>
          <w:lang w:eastAsia="it-IT"/>
          <w14:ligatures w14:val="none"/>
        </w:rPr>
        <w:t>Us</w:t>
      </w:r>
      <w:proofErr w:type="spellEnd"/>
    </w:p>
    <w:p w14:paraId="61D05E53" w14:textId="77777777" w:rsidR="002C71CA" w:rsidRPr="002C71CA" w:rsidRDefault="002C71CA" w:rsidP="00341AB0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Corrida Legal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boutique corporate &amp;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employment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firm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serving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strategic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partner to businesses by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helping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navigate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transactions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 fundraising-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investor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readiness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workforce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management, data privacy,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disputes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firm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provides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specialized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end-to-end corporate &amp;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employment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solutions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thereby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eliminating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need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multiple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firm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engagements.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actively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working 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transactional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drafting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&amp;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advisory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&amp;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employment-related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contracts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 POSH, HR &amp; data privacy-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compliances and audits, India-entry strategy &amp;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incorporation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statutory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labour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law-related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licenses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registrations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and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defend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clients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before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all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courts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seamless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operations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11BF80EE" w14:textId="77777777" w:rsidR="002C71CA" w:rsidRPr="002C71CA" w:rsidRDefault="002C71CA" w:rsidP="00341AB0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keep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client’s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future-ready by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ensuring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compliance with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upcoming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Indian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Labour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codes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Wages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Industrial Relations, Social Security,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Occupational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Safety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, Health, and Working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Conditions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– and the Digital Personal Data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Protection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Act, 2023. With offices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across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India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including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  <w:hyperlink r:id="rId5" w:history="1">
        <w:r w:rsidRPr="002C71CA">
          <w:rPr>
            <w:rFonts w:ascii="Arial" w:eastAsia="Times New Roman" w:hAnsi="Arial" w:cs="Arial"/>
            <w:color w:val="151515"/>
            <w:kern w:val="0"/>
            <w:u w:val="single"/>
            <w:lang w:eastAsia="it-IT"/>
            <w14:ligatures w14:val="none"/>
          </w:rPr>
          <w:t>Gurgaon</w:t>
        </w:r>
      </w:hyperlink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, </w:t>
      </w:r>
      <w:hyperlink r:id="rId6" w:history="1">
        <w:r w:rsidRPr="002C71CA">
          <w:rPr>
            <w:rFonts w:ascii="Arial" w:eastAsia="Times New Roman" w:hAnsi="Arial" w:cs="Arial"/>
            <w:color w:val="151515"/>
            <w:kern w:val="0"/>
            <w:u w:val="single"/>
            <w:lang w:eastAsia="it-IT"/>
            <w14:ligatures w14:val="none"/>
          </w:rPr>
          <w:t>Mumbai</w:t>
        </w:r>
      </w:hyperlink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and </w:t>
      </w:r>
      <w:hyperlink r:id="rId7" w:history="1">
        <w:r w:rsidRPr="002C71CA">
          <w:rPr>
            <w:rFonts w:ascii="Arial" w:eastAsia="Times New Roman" w:hAnsi="Arial" w:cs="Arial"/>
            <w:color w:val="151515"/>
            <w:kern w:val="0"/>
            <w:u w:val="single"/>
            <w:lang w:eastAsia="it-IT"/>
            <w14:ligatures w14:val="none"/>
          </w:rPr>
          <w:t>Delhi</w:t>
        </w:r>
      </w:hyperlink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coupled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with global partnerships with international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firms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in Dubai, Singapore, the United Kingdom, and the USA,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we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are the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preferred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law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firm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for India entry and international business setups. Reach out to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 </w:t>
      </w:r>
      <w:hyperlink r:id="rId8" w:tgtFrame="_blank" w:history="1">
        <w:r w:rsidRPr="002C71CA">
          <w:rPr>
            <w:rFonts w:ascii="Arial" w:eastAsia="Times New Roman" w:hAnsi="Arial" w:cs="Arial"/>
            <w:color w:val="151515"/>
            <w:kern w:val="0"/>
            <w:u w:val="single"/>
            <w:lang w:eastAsia="it-IT"/>
            <w14:ligatures w14:val="none"/>
          </w:rPr>
          <w:t>LinkedIn</w:t>
        </w:r>
      </w:hyperlink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or contact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  <w:hyperlink r:id="rId9" w:history="1">
        <w:r w:rsidRPr="002C71CA">
          <w:rPr>
            <w:rFonts w:ascii="Arial" w:eastAsia="Times New Roman" w:hAnsi="Arial" w:cs="Arial"/>
            <w:color w:val="151515"/>
            <w:kern w:val="0"/>
            <w:u w:val="single"/>
            <w:lang w:eastAsia="it-IT"/>
            <w14:ligatures w14:val="none"/>
          </w:rPr>
          <w:t>contact@corridalegal.com/+91-9211410147</w:t>
        </w:r>
      </w:hyperlink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in case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you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require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assistance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.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Visit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our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fldChar w:fldCharType="begin"/>
      </w: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instrText>HYPERLINK "https://www.corridalegal.com/publications/"</w:instrText>
      </w: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fldChar w:fldCharType="separate"/>
      </w:r>
      <w:r w:rsidRPr="002C71CA">
        <w:rPr>
          <w:rFonts w:ascii="Arial" w:eastAsia="Times New Roman" w:hAnsi="Arial" w:cs="Arial"/>
          <w:color w:val="151515"/>
          <w:kern w:val="0"/>
          <w:u w:val="single"/>
          <w:lang w:eastAsia="it-IT"/>
          <w14:ligatures w14:val="none"/>
        </w:rPr>
        <w:t>publications</w:t>
      </w:r>
      <w:proofErr w:type="spellEnd"/>
      <w:r w:rsidRPr="002C71CA">
        <w:rPr>
          <w:rFonts w:ascii="Arial" w:eastAsia="Times New Roman" w:hAnsi="Arial" w:cs="Arial"/>
          <w:color w:val="151515"/>
          <w:kern w:val="0"/>
          <w:u w:val="single"/>
          <w:lang w:eastAsia="it-IT"/>
          <w14:ligatures w14:val="none"/>
        </w:rPr>
        <w:t xml:space="preserve"> page</w:t>
      </w: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fldChar w:fldCharType="end"/>
      </w:r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 for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detailed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articles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on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contemporary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legal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issues</w:t>
      </w:r>
      <w:proofErr w:type="spellEnd"/>
      <w:r w:rsidRPr="002C71CA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and updates.</w:t>
      </w:r>
    </w:p>
    <w:p w14:paraId="1D072DB2" w14:textId="77777777" w:rsidR="002C71CA" w:rsidRDefault="002C71CA" w:rsidP="00341AB0">
      <w:pPr>
        <w:jc w:val="both"/>
      </w:pPr>
    </w:p>
    <w:sectPr w:rsidR="002C71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C35"/>
    <w:multiLevelType w:val="multilevel"/>
    <w:tmpl w:val="E6F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39F3"/>
    <w:multiLevelType w:val="multilevel"/>
    <w:tmpl w:val="DFFC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00415"/>
    <w:multiLevelType w:val="multilevel"/>
    <w:tmpl w:val="B70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70E"/>
    <w:multiLevelType w:val="multilevel"/>
    <w:tmpl w:val="FA2E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85E0D"/>
    <w:multiLevelType w:val="multilevel"/>
    <w:tmpl w:val="B5F8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74B8B"/>
    <w:multiLevelType w:val="multilevel"/>
    <w:tmpl w:val="B1F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A4F9F"/>
    <w:multiLevelType w:val="multilevel"/>
    <w:tmpl w:val="77DA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42E26"/>
    <w:multiLevelType w:val="multilevel"/>
    <w:tmpl w:val="327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5224D"/>
    <w:multiLevelType w:val="multilevel"/>
    <w:tmpl w:val="3246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80440"/>
    <w:multiLevelType w:val="multilevel"/>
    <w:tmpl w:val="8D7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86CB0"/>
    <w:multiLevelType w:val="multilevel"/>
    <w:tmpl w:val="D846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9496E"/>
    <w:multiLevelType w:val="multilevel"/>
    <w:tmpl w:val="6C7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D1CF4"/>
    <w:multiLevelType w:val="multilevel"/>
    <w:tmpl w:val="F7F8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23033"/>
    <w:multiLevelType w:val="multilevel"/>
    <w:tmpl w:val="AE38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02F05"/>
    <w:multiLevelType w:val="multilevel"/>
    <w:tmpl w:val="1DE2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F5DFE"/>
    <w:multiLevelType w:val="multilevel"/>
    <w:tmpl w:val="448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25CAB"/>
    <w:multiLevelType w:val="multilevel"/>
    <w:tmpl w:val="C96E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C0BC7"/>
    <w:multiLevelType w:val="multilevel"/>
    <w:tmpl w:val="160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D7DCD"/>
    <w:multiLevelType w:val="multilevel"/>
    <w:tmpl w:val="011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B5D01"/>
    <w:multiLevelType w:val="multilevel"/>
    <w:tmpl w:val="5FD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12D3F"/>
    <w:multiLevelType w:val="multilevel"/>
    <w:tmpl w:val="2808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24B61"/>
    <w:multiLevelType w:val="multilevel"/>
    <w:tmpl w:val="0D5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F7046B"/>
    <w:multiLevelType w:val="multilevel"/>
    <w:tmpl w:val="548C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65650"/>
    <w:multiLevelType w:val="multilevel"/>
    <w:tmpl w:val="04D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1226E"/>
    <w:multiLevelType w:val="multilevel"/>
    <w:tmpl w:val="32A0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B4F21"/>
    <w:multiLevelType w:val="multilevel"/>
    <w:tmpl w:val="DE5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50818"/>
    <w:multiLevelType w:val="multilevel"/>
    <w:tmpl w:val="69B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365BC"/>
    <w:multiLevelType w:val="multilevel"/>
    <w:tmpl w:val="6CF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26FED"/>
    <w:multiLevelType w:val="multilevel"/>
    <w:tmpl w:val="3994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96B8E"/>
    <w:multiLevelType w:val="multilevel"/>
    <w:tmpl w:val="DCE0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B461C"/>
    <w:multiLevelType w:val="multilevel"/>
    <w:tmpl w:val="CE4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953D0"/>
    <w:multiLevelType w:val="multilevel"/>
    <w:tmpl w:val="42B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F39D8"/>
    <w:multiLevelType w:val="multilevel"/>
    <w:tmpl w:val="907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1836E7"/>
    <w:multiLevelType w:val="multilevel"/>
    <w:tmpl w:val="0B3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43A2D"/>
    <w:multiLevelType w:val="multilevel"/>
    <w:tmpl w:val="183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78013A"/>
    <w:multiLevelType w:val="multilevel"/>
    <w:tmpl w:val="8FC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017C69"/>
    <w:multiLevelType w:val="multilevel"/>
    <w:tmpl w:val="2858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B5B7F"/>
    <w:multiLevelType w:val="multilevel"/>
    <w:tmpl w:val="A990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897684">
    <w:abstractNumId w:val="33"/>
  </w:num>
  <w:num w:numId="2" w16cid:durableId="1480997747">
    <w:abstractNumId w:val="20"/>
  </w:num>
  <w:num w:numId="3" w16cid:durableId="1103841262">
    <w:abstractNumId w:val="31"/>
  </w:num>
  <w:num w:numId="4" w16cid:durableId="1847210852">
    <w:abstractNumId w:val="6"/>
  </w:num>
  <w:num w:numId="5" w16cid:durableId="148250976">
    <w:abstractNumId w:val="11"/>
  </w:num>
  <w:num w:numId="6" w16cid:durableId="1317763692">
    <w:abstractNumId w:val="2"/>
  </w:num>
  <w:num w:numId="7" w16cid:durableId="2121101929">
    <w:abstractNumId w:val="24"/>
  </w:num>
  <w:num w:numId="8" w16cid:durableId="932401924">
    <w:abstractNumId w:val="30"/>
  </w:num>
  <w:num w:numId="9" w16cid:durableId="2067802293">
    <w:abstractNumId w:val="1"/>
  </w:num>
  <w:num w:numId="10" w16cid:durableId="1461192341">
    <w:abstractNumId w:val="26"/>
  </w:num>
  <w:num w:numId="11" w16cid:durableId="859077733">
    <w:abstractNumId w:val="7"/>
  </w:num>
  <w:num w:numId="12" w16cid:durableId="222452730">
    <w:abstractNumId w:val="37"/>
  </w:num>
  <w:num w:numId="13" w16cid:durableId="580455376">
    <w:abstractNumId w:val="23"/>
  </w:num>
  <w:num w:numId="14" w16cid:durableId="775826788">
    <w:abstractNumId w:val="21"/>
  </w:num>
  <w:num w:numId="15" w16cid:durableId="94635153">
    <w:abstractNumId w:val="0"/>
  </w:num>
  <w:num w:numId="16" w16cid:durableId="430781302">
    <w:abstractNumId w:val="18"/>
  </w:num>
  <w:num w:numId="17" w16cid:durableId="537396016">
    <w:abstractNumId w:val="22"/>
  </w:num>
  <w:num w:numId="18" w16cid:durableId="313027030">
    <w:abstractNumId w:val="36"/>
  </w:num>
  <w:num w:numId="19" w16cid:durableId="416900718">
    <w:abstractNumId w:val="32"/>
  </w:num>
  <w:num w:numId="20" w16cid:durableId="1346009454">
    <w:abstractNumId w:val="16"/>
  </w:num>
  <w:num w:numId="21" w16cid:durableId="1823741137">
    <w:abstractNumId w:val="14"/>
  </w:num>
  <w:num w:numId="22" w16cid:durableId="2128430422">
    <w:abstractNumId w:val="9"/>
  </w:num>
  <w:num w:numId="23" w16cid:durableId="1307515460">
    <w:abstractNumId w:val="8"/>
  </w:num>
  <w:num w:numId="24" w16cid:durableId="780338062">
    <w:abstractNumId w:val="25"/>
  </w:num>
  <w:num w:numId="25" w16cid:durableId="2081559224">
    <w:abstractNumId w:val="3"/>
  </w:num>
  <w:num w:numId="26" w16cid:durableId="1198932702">
    <w:abstractNumId w:val="15"/>
  </w:num>
  <w:num w:numId="27" w16cid:durableId="650982134">
    <w:abstractNumId w:val="27"/>
  </w:num>
  <w:num w:numId="28" w16cid:durableId="1724716058">
    <w:abstractNumId w:val="10"/>
  </w:num>
  <w:num w:numId="29" w16cid:durableId="5181533">
    <w:abstractNumId w:val="13"/>
  </w:num>
  <w:num w:numId="30" w16cid:durableId="1936358720">
    <w:abstractNumId w:val="34"/>
  </w:num>
  <w:num w:numId="31" w16cid:durableId="82380159">
    <w:abstractNumId w:val="17"/>
  </w:num>
  <w:num w:numId="32" w16cid:durableId="1022241049">
    <w:abstractNumId w:val="35"/>
  </w:num>
  <w:num w:numId="33" w16cid:durableId="616790051">
    <w:abstractNumId w:val="29"/>
  </w:num>
  <w:num w:numId="34" w16cid:durableId="450710969">
    <w:abstractNumId w:val="4"/>
  </w:num>
  <w:num w:numId="35" w16cid:durableId="1058282715">
    <w:abstractNumId w:val="28"/>
  </w:num>
  <w:num w:numId="36" w16cid:durableId="886796467">
    <w:abstractNumId w:val="5"/>
  </w:num>
  <w:num w:numId="37" w16cid:durableId="956369692">
    <w:abstractNumId w:val="19"/>
  </w:num>
  <w:num w:numId="38" w16cid:durableId="774137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CA"/>
    <w:rsid w:val="002C71CA"/>
    <w:rsid w:val="00341AB0"/>
    <w:rsid w:val="005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E37C6"/>
  <w15:chartTrackingRefBased/>
  <w15:docId w15:val="{C3BB085F-CC8A-FC42-A68C-F8F005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7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7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C7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C7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C7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C7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C7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C7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C7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7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7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7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C71C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C71C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C71C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C71C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C71C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C71C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C7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C7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C7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C7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7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71C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C71C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71C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7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71C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C71CA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2C71CA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2C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converted-space">
    <w:name w:val="apple-converted-space"/>
    <w:basedOn w:val="Carpredefinitoparagrafo"/>
    <w:rsid w:val="002C71CA"/>
  </w:style>
  <w:style w:type="character" w:styleId="Collegamentoipertestuale">
    <w:name w:val="Hyperlink"/>
    <w:basedOn w:val="Carpredefinitoparagrafo"/>
    <w:uiPriority w:val="99"/>
    <w:semiHidden/>
    <w:unhideWhenUsed/>
    <w:rsid w:val="002C7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corporate-employment-law-firm-india/?lipi=urn%3Ali%3Apage%3Ad_flagship3_messaging_conversation_detail%3BWn9w7XgEQgu9KWIkmmM%2BnQ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s.app.goo.gl/zqyDyc7qGHrpgpyD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app.goo.gl/iHZQdF3Fd7LFc1JA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.co/kgs/sH3JY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tact@corridalegal.com/+91-921141014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6160</Words>
  <Characters>35112</Characters>
  <Application>Microsoft Office Word</Application>
  <DocSecurity>0</DocSecurity>
  <Lines>292</Lines>
  <Paragraphs>82</Paragraphs>
  <ScaleCrop>false</ScaleCrop>
  <Company/>
  <LinksUpToDate>false</LinksUpToDate>
  <CharactersWithSpaces>41190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Bussoletti</dc:creator>
  <cp:keywords/>
  <dc:description/>
  <cp:lastModifiedBy>Francesco Bussoletti</cp:lastModifiedBy>
  <cp:revision>2</cp:revision>
  <dcterms:created xsi:type="dcterms:W3CDTF">2025-10-22T14:52:00Z</dcterms:created>
  <dcterms:modified xsi:type="dcterms:W3CDTF">2025-10-22T14:54:00Z</dcterms:modified>
</cp:coreProperties>
</file>