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5.12 主稿 Table 1 与校准段独立修订包</w:t>
      </w:r>
    </w:p>
    <w:p>
      <w:r>
        <w:t>用途：本文件不修改原始 5.12 Word，仅提供可粘贴到主稿的替换表格、表注与正文替换文字。</w:t>
      </w:r>
    </w:p>
    <w:p>
      <w:r>
        <w:t>依据：manual_result_quality_source.xlsx、manual_reasoning_quality_source.xlsx、Fig05_source_data.xlsx、G4_system_metrics_v2_source.xlsx。</w:t>
      </w:r>
    </w:p>
    <w:p>
      <w:r>
        <w:t>保护约束：未修改 submission_bundle/Fig0X/render/ 下任何文件。</w:t>
      </w:r>
    </w:p>
    <w:p>
      <w:pPr>
        <w:pStyle w:val="Heading2"/>
      </w:pPr>
      <w:r>
        <w:t>一、推荐替换 Table 1</w:t>
      </w:r>
    </w:p>
    <w:p>
      <w:r>
        <w:t>推荐口径：D3/D4 采用 workflow-valid denominator，与 Fig. 5a、Fig. 5b、Supplementary tables 和当前投稿 source data 主口径保持一致。D1/D2 检查环节暂保留专家评分覆盖口径；如需进一步统一 calibration-valid 口径，见第三节。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r>
              <w:t>阶段</w:t>
            </w:r>
          </w:p>
        </w:tc>
        <w:tc>
          <w:tcPr>
            <w:tcW w:type="dxa" w:w="1234"/>
            <w:vAlign w:val="center"/>
          </w:tcPr>
          <w:p>
            <w:r>
              <w:t>样本(结果)</w:t>
            </w:r>
          </w:p>
        </w:tc>
        <w:tc>
          <w:tcPr>
            <w:tcW w:type="dxa" w:w="1234"/>
            <w:vAlign w:val="center"/>
          </w:tcPr>
          <w:p>
            <w:r>
              <w:t>完全一致率 / (结果,%)</w:t>
            </w:r>
          </w:p>
        </w:tc>
        <w:tc>
          <w:tcPr>
            <w:tcW w:type="dxa" w:w="1234"/>
            <w:vAlign w:val="center"/>
          </w:tcPr>
          <w:p>
            <w:r>
              <w:t>结果均分(/5)</w:t>
            </w:r>
          </w:p>
        </w:tc>
        <w:tc>
          <w:tcPr>
            <w:tcW w:type="dxa" w:w="1234"/>
            <w:vAlign w:val="center"/>
          </w:tcPr>
          <w:p>
            <w:r>
              <w:t>样本(推理)</w:t>
            </w:r>
          </w:p>
        </w:tc>
        <w:tc>
          <w:tcPr>
            <w:tcW w:type="dxa" w:w="1234"/>
            <w:vAlign w:val="center"/>
          </w:tcPr>
          <w:p>
            <w:r>
              <w:t>完全一致率 / (推理,%)</w:t>
            </w:r>
          </w:p>
        </w:tc>
        <w:tc>
          <w:tcPr>
            <w:tcW w:type="dxa" w:w="1234"/>
            <w:vAlign w:val="center"/>
          </w:tcPr>
          <w:p>
            <w:r>
              <w:t>推理均分(/5)</w:t>
            </w:r>
          </w:p>
        </w:tc>
      </w:tr>
      <w:tr>
        <w:tc>
          <w:tcPr>
            <w:tcW w:type="dxa" w:w="1234"/>
            <w:vAlign w:val="center"/>
          </w:tcPr>
          <w:p>
            <w:r>
              <w:t>D1 门诊检查</w:t>
            </w:r>
          </w:p>
        </w:tc>
        <w:tc>
          <w:tcPr>
            <w:tcW w:type="dxa" w:w="1234"/>
            <w:vAlign w:val="center"/>
          </w:tcPr>
          <w:p>
            <w:r>
              <w:t>977</w:t>
            </w:r>
          </w:p>
        </w:tc>
        <w:tc>
          <w:tcPr>
            <w:tcW w:type="dxa" w:w="1234"/>
            <w:vAlign w:val="center"/>
          </w:tcPr>
          <w:p>
            <w:r>
              <w:t>85.5%</w:t>
            </w:r>
          </w:p>
        </w:tc>
        <w:tc>
          <w:tcPr>
            <w:tcW w:type="dxa" w:w="1234"/>
            <w:vAlign w:val="center"/>
          </w:tcPr>
          <w:p>
            <w:r>
              <w:t>4.45</w:t>
            </w:r>
          </w:p>
        </w:tc>
        <w:tc>
          <w:tcPr>
            <w:tcW w:type="dxa" w:w="1234"/>
            <w:vAlign w:val="center"/>
          </w:tcPr>
          <w:p>
            <w:r>
              <w:t>977</w:t>
            </w:r>
          </w:p>
        </w:tc>
        <w:tc>
          <w:tcPr>
            <w:tcW w:type="dxa" w:w="1234"/>
            <w:vAlign w:val="center"/>
          </w:tcPr>
          <w:p>
            <w:r>
              <w:t>89.3%</w:t>
            </w:r>
          </w:p>
        </w:tc>
        <w:tc>
          <w:tcPr>
            <w:tcW w:type="dxa" w:w="1234"/>
            <w:vAlign w:val="center"/>
          </w:tcPr>
          <w:p>
            <w:r>
              <w:t>4.49</w:t>
            </w:r>
          </w:p>
        </w:tc>
      </w:tr>
      <w:tr>
        <w:tc>
          <w:tcPr>
            <w:tcW w:type="dxa" w:w="1234"/>
            <w:vAlign w:val="center"/>
          </w:tcPr>
          <w:p>
            <w:r>
              <w:t>D2 住院检查</w:t>
            </w:r>
          </w:p>
        </w:tc>
        <w:tc>
          <w:tcPr>
            <w:tcW w:type="dxa" w:w="1234"/>
            <w:vAlign w:val="center"/>
          </w:tcPr>
          <w:p>
            <w:r>
              <w:t>357</w:t>
            </w:r>
          </w:p>
        </w:tc>
        <w:tc>
          <w:tcPr>
            <w:tcW w:type="dxa" w:w="1234"/>
            <w:vAlign w:val="center"/>
          </w:tcPr>
          <w:p>
            <w:r>
              <w:t>78.4%</w:t>
            </w:r>
          </w:p>
        </w:tc>
        <w:tc>
          <w:tcPr>
            <w:tcW w:type="dxa" w:w="1234"/>
            <w:vAlign w:val="center"/>
          </w:tcPr>
          <w:p>
            <w:r>
              <w:t>4.47</w:t>
            </w:r>
          </w:p>
        </w:tc>
        <w:tc>
          <w:tcPr>
            <w:tcW w:type="dxa" w:w="1234"/>
            <w:vAlign w:val="center"/>
          </w:tcPr>
          <w:p>
            <w:r>
              <w:t>357</w:t>
            </w:r>
          </w:p>
        </w:tc>
        <w:tc>
          <w:tcPr>
            <w:tcW w:type="dxa" w:w="1234"/>
            <w:vAlign w:val="center"/>
          </w:tcPr>
          <w:p>
            <w:r>
              <w:t>84.0%</w:t>
            </w:r>
          </w:p>
        </w:tc>
        <w:tc>
          <w:tcPr>
            <w:tcW w:type="dxa" w:w="1234"/>
            <w:vAlign w:val="center"/>
          </w:tcPr>
          <w:p>
            <w:r>
              <w:t>4.52</w:t>
            </w:r>
          </w:p>
        </w:tc>
      </w:tr>
      <w:tr>
        <w:tc>
          <w:tcPr>
            <w:tcW w:type="dxa" w:w="1234"/>
            <w:vAlign w:val="center"/>
          </w:tcPr>
          <w:p>
            <w:r>
              <w:t>D1 门诊决策</w:t>
            </w:r>
          </w:p>
        </w:tc>
        <w:tc>
          <w:tcPr>
            <w:tcW w:type="dxa" w:w="1234"/>
            <w:vAlign w:val="center"/>
          </w:tcPr>
          <w:p>
            <w:r>
              <w:t>1492</w:t>
            </w:r>
          </w:p>
        </w:tc>
        <w:tc>
          <w:tcPr>
            <w:tcW w:type="dxa" w:w="1234"/>
            <w:vAlign w:val="center"/>
          </w:tcPr>
          <w:p>
            <w:r>
              <w:t>72.7%</w:t>
            </w:r>
          </w:p>
        </w:tc>
        <w:tc>
          <w:tcPr>
            <w:tcW w:type="dxa" w:w="1234"/>
            <w:vAlign w:val="center"/>
          </w:tcPr>
          <w:p>
            <w:r>
              <w:t>4.36</w:t>
            </w:r>
          </w:p>
        </w:tc>
        <w:tc>
          <w:tcPr>
            <w:tcW w:type="dxa" w:w="1234"/>
            <w:vAlign w:val="center"/>
          </w:tcPr>
          <w:p>
            <w:r>
              <w:t>1492</w:t>
            </w:r>
          </w:p>
        </w:tc>
        <w:tc>
          <w:tcPr>
            <w:tcW w:type="dxa" w:w="1234"/>
            <w:vAlign w:val="center"/>
          </w:tcPr>
          <w:p>
            <w:r>
              <w:t>84.2%</w:t>
            </w:r>
          </w:p>
        </w:tc>
        <w:tc>
          <w:tcPr>
            <w:tcW w:type="dxa" w:w="1234"/>
            <w:vAlign w:val="center"/>
          </w:tcPr>
          <w:p>
            <w:r>
              <w:t>4.49</w:t>
            </w:r>
          </w:p>
        </w:tc>
      </w:tr>
      <w:tr>
        <w:tc>
          <w:tcPr>
            <w:tcW w:type="dxa" w:w="1234"/>
            <w:vAlign w:val="center"/>
          </w:tcPr>
          <w:p>
            <w:r>
              <w:t>D2 住院决策</w:t>
            </w:r>
          </w:p>
        </w:tc>
        <w:tc>
          <w:tcPr>
            <w:tcW w:type="dxa" w:w="1234"/>
            <w:vAlign w:val="center"/>
          </w:tcPr>
          <w:p>
            <w:r>
              <w:t>1472</w:t>
            </w:r>
          </w:p>
        </w:tc>
        <w:tc>
          <w:tcPr>
            <w:tcW w:type="dxa" w:w="1234"/>
            <w:vAlign w:val="center"/>
          </w:tcPr>
          <w:p>
            <w:r>
              <w:t>71.4%</w:t>
            </w:r>
          </w:p>
        </w:tc>
        <w:tc>
          <w:tcPr>
            <w:tcW w:type="dxa" w:w="1234"/>
            <w:vAlign w:val="center"/>
          </w:tcPr>
          <w:p>
            <w:r>
              <w:t>4.22</w:t>
            </w:r>
          </w:p>
        </w:tc>
        <w:tc>
          <w:tcPr>
            <w:tcW w:type="dxa" w:w="1234"/>
            <w:vAlign w:val="center"/>
          </w:tcPr>
          <w:p>
            <w:r>
              <w:t>1472</w:t>
            </w:r>
          </w:p>
        </w:tc>
        <w:tc>
          <w:tcPr>
            <w:tcW w:type="dxa" w:w="1234"/>
            <w:vAlign w:val="center"/>
          </w:tcPr>
          <w:p>
            <w:r>
              <w:t>76.6%</w:t>
            </w:r>
          </w:p>
        </w:tc>
        <w:tc>
          <w:tcPr>
            <w:tcW w:type="dxa" w:w="1234"/>
            <w:vAlign w:val="center"/>
          </w:tcPr>
          <w:p>
            <w:r>
              <w:t>4.36</w:t>
            </w:r>
          </w:p>
        </w:tc>
      </w:tr>
      <w:tr>
        <w:tc>
          <w:tcPr>
            <w:tcW w:type="dxa" w:w="1234"/>
            <w:vAlign w:val="center"/>
          </w:tcPr>
          <w:p>
            <w:r>
              <w:t>D3 术后决策</w:t>
            </w:r>
          </w:p>
        </w:tc>
        <w:tc>
          <w:tcPr>
            <w:tcW w:type="dxa" w:w="1234"/>
            <w:vAlign w:val="center"/>
          </w:tcPr>
          <w:p>
            <w:r>
              <w:t>1429</w:t>
            </w:r>
          </w:p>
        </w:tc>
        <w:tc>
          <w:tcPr>
            <w:tcW w:type="dxa" w:w="1234"/>
            <w:vAlign w:val="center"/>
          </w:tcPr>
          <w:p>
            <w:r>
              <w:t>74.0%</w:t>
            </w:r>
          </w:p>
        </w:tc>
        <w:tc>
          <w:tcPr>
            <w:tcW w:type="dxa" w:w="1234"/>
            <w:vAlign w:val="center"/>
          </w:tcPr>
          <w:p>
            <w:r>
              <w:t>4.37</w:t>
            </w:r>
          </w:p>
        </w:tc>
        <w:tc>
          <w:tcPr>
            <w:tcW w:type="dxa" w:w="1234"/>
            <w:vAlign w:val="center"/>
          </w:tcPr>
          <w:p>
            <w:r>
              <w:t>1429</w:t>
            </w:r>
          </w:p>
        </w:tc>
        <w:tc>
          <w:tcPr>
            <w:tcW w:type="dxa" w:w="1234"/>
            <w:vAlign w:val="center"/>
          </w:tcPr>
          <w:p>
            <w:r>
              <w:t>80.9%</w:t>
            </w:r>
          </w:p>
        </w:tc>
        <w:tc>
          <w:tcPr>
            <w:tcW w:type="dxa" w:w="1234"/>
            <w:vAlign w:val="center"/>
          </w:tcPr>
          <w:p>
            <w:r>
              <w:t>4.44</w:t>
            </w:r>
          </w:p>
        </w:tc>
      </w:tr>
      <w:tr>
        <w:tc>
          <w:tcPr>
            <w:tcW w:type="dxa" w:w="1234"/>
            <w:vAlign w:val="center"/>
          </w:tcPr>
          <w:p>
            <w:r>
              <w:t>D4 随访计划</w:t>
            </w:r>
          </w:p>
        </w:tc>
        <w:tc>
          <w:tcPr>
            <w:tcW w:type="dxa" w:w="1234"/>
            <w:vAlign w:val="center"/>
          </w:tcPr>
          <w:p>
            <w:r>
              <w:t>1320</w:t>
            </w:r>
          </w:p>
        </w:tc>
        <w:tc>
          <w:tcPr>
            <w:tcW w:type="dxa" w:w="1234"/>
            <w:vAlign w:val="center"/>
          </w:tcPr>
          <w:p>
            <w:r>
              <w:t>83.1%</w:t>
            </w:r>
          </w:p>
        </w:tc>
        <w:tc>
          <w:tcPr>
            <w:tcW w:type="dxa" w:w="1234"/>
            <w:vAlign w:val="center"/>
          </w:tcPr>
          <w:p>
            <w:r>
              <w:t>4.57</w:t>
            </w:r>
          </w:p>
        </w:tc>
        <w:tc>
          <w:tcPr>
            <w:tcW w:type="dxa" w:w="1234"/>
            <w:vAlign w:val="center"/>
          </w:tcPr>
          <w:p>
            <w:r>
              <w:t>1320</w:t>
            </w:r>
          </w:p>
        </w:tc>
        <w:tc>
          <w:tcPr>
            <w:tcW w:type="dxa" w:w="1234"/>
            <w:vAlign w:val="center"/>
          </w:tcPr>
          <w:p>
            <w:r>
              <w:t>85.8%</w:t>
            </w:r>
          </w:p>
        </w:tc>
        <w:tc>
          <w:tcPr>
            <w:tcW w:type="dxa" w:w="1234"/>
            <w:vAlign w:val="center"/>
          </w:tcPr>
          <w:p>
            <w:r>
              <w:t>4.59</w:t>
            </w:r>
          </w:p>
        </w:tc>
      </w:tr>
    </w:tbl>
    <w:p>
      <w:r>
        <w:t>建议表注：</w:t>
      </w:r>
    </w:p>
    <w:p>
      <w:r>
        <w:t>Table 1 | 各阶段专家评分一致性与均分。临床盲评由三位妇科专家组成总体专家池，并采用跨中心交叉双评设计：每个中心、每条轨迹由两位专家独立评分。结果质量和推理质量均采用1–5分量表；完全一致率指该中心两位评分者映射至低、中、高三档后标签完全相同的比例。D3和D4样本量按workflow-valid denominator统计，即剔除D2二审判定should_continue=false后仍保留原始下游行的病例-模型轨迹，以便与Fig. 5a、Fig. 5b及当前source data口径一致。</w:t>
      </w:r>
    </w:p>
    <w:p>
      <w:pPr>
        <w:pStyle w:val="Heading2"/>
      </w:pPr>
      <w:r>
        <w:t>二、推荐替换校准结果段落</w:t>
      </w:r>
    </w:p>
    <w:p>
      <w:r>
        <w:t>校准分析显示，系统置信度与实际正确率之间总体关系较为平滑，但仍存在阶段性过度自信。按阶段样本量加权后，全流程平均置信度为0.887，平均正确率为0.803；D2住院阶段的校准差最大，平均置信度为0.884、平均正确率为0.717，校准差值为0.167（Fig. 5b；Supplementary Tables 6–7）。这提示模型最容易在证据尚未完全闭合时提前表达较强确定性。</w:t>
      </w:r>
    </w:p>
    <w:p>
      <w:r>
        <w:t>说明：当前G4_system_metrics_v2_source.xlsx中“汇总_b0_points”显示B0 weighted overall为x_conf=0.886800、y_acc=0.802648，因此三位小数应写0.887和0.803；原文“0.801”应视为旧值残留或非当前source data口径。</w:t>
      </w:r>
    </w:p>
    <w:p>
      <w:pPr>
        <w:pStyle w:val="Heading2"/>
      </w:pPr>
      <w:r>
        <w:t>三、可选：若检查环节也统一为 calibration-valid 口径</w:t>
      </w:r>
    </w:p>
    <w:p>
      <w:r>
        <w:t>仅在你决定Table 1完全对齐Fig. 5b calibration detail时使用。本选项会将D1检查从977改为976、D2检查从357改为339。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阶段</w:t>
            </w:r>
          </w:p>
        </w:tc>
        <w:tc>
          <w:tcPr>
            <w:tcW w:type="dxa" w:w="1234"/>
          </w:tcPr>
          <w:p>
            <w:r>
              <w:t>样本(结果)</w:t>
            </w:r>
          </w:p>
        </w:tc>
        <w:tc>
          <w:tcPr>
            <w:tcW w:type="dxa" w:w="1234"/>
          </w:tcPr>
          <w:p>
            <w:r>
              <w:t>完全一致率 / (结果,%)</w:t>
            </w:r>
          </w:p>
        </w:tc>
        <w:tc>
          <w:tcPr>
            <w:tcW w:type="dxa" w:w="1234"/>
          </w:tcPr>
          <w:p>
            <w:r>
              <w:t>结果均分(/5)</w:t>
            </w:r>
          </w:p>
        </w:tc>
        <w:tc>
          <w:tcPr>
            <w:tcW w:type="dxa" w:w="1234"/>
          </w:tcPr>
          <w:p>
            <w:r>
              <w:t>样本(推理)</w:t>
            </w:r>
          </w:p>
        </w:tc>
        <w:tc>
          <w:tcPr>
            <w:tcW w:type="dxa" w:w="1234"/>
          </w:tcPr>
          <w:p>
            <w:r>
              <w:t>完全一致率 / (推理,%)</w:t>
            </w:r>
          </w:p>
        </w:tc>
        <w:tc>
          <w:tcPr>
            <w:tcW w:type="dxa" w:w="1234"/>
          </w:tcPr>
          <w:p>
            <w:r>
              <w:t>推理均分(/5)</w:t>
            </w:r>
          </w:p>
        </w:tc>
      </w:tr>
      <w:tr>
        <w:tc>
          <w:tcPr>
            <w:tcW w:type="dxa" w:w="1234"/>
          </w:tcPr>
          <w:p>
            <w:r>
              <w:t>D1 门诊检查</w:t>
            </w:r>
          </w:p>
        </w:tc>
        <w:tc>
          <w:tcPr>
            <w:tcW w:type="dxa" w:w="1234"/>
          </w:tcPr>
          <w:p>
            <w:r>
              <w:t>976</w:t>
            </w:r>
          </w:p>
        </w:tc>
        <w:tc>
          <w:tcPr>
            <w:tcW w:type="dxa" w:w="1234"/>
          </w:tcPr>
          <w:p>
            <w:r>
              <w:t>85.5%</w:t>
            </w:r>
          </w:p>
        </w:tc>
        <w:tc>
          <w:tcPr>
            <w:tcW w:type="dxa" w:w="1234"/>
          </w:tcPr>
          <w:p>
            <w:r>
              <w:t>4.45</w:t>
            </w:r>
          </w:p>
        </w:tc>
        <w:tc>
          <w:tcPr>
            <w:tcW w:type="dxa" w:w="1234"/>
          </w:tcPr>
          <w:p>
            <w:r>
              <w:t>976</w:t>
            </w:r>
          </w:p>
        </w:tc>
        <w:tc>
          <w:tcPr>
            <w:tcW w:type="dxa" w:w="1234"/>
          </w:tcPr>
          <w:p>
            <w:r>
              <w:t>89.2%</w:t>
            </w:r>
          </w:p>
        </w:tc>
        <w:tc>
          <w:tcPr>
            <w:tcW w:type="dxa" w:w="1234"/>
          </w:tcPr>
          <w:p>
            <w:r>
              <w:t>4.49</w:t>
            </w:r>
          </w:p>
        </w:tc>
      </w:tr>
      <w:tr>
        <w:tc>
          <w:tcPr>
            <w:tcW w:type="dxa" w:w="1234"/>
          </w:tcPr>
          <w:p>
            <w:r>
              <w:t>D2 住院检查</w:t>
            </w:r>
          </w:p>
        </w:tc>
        <w:tc>
          <w:tcPr>
            <w:tcW w:type="dxa" w:w="1234"/>
          </w:tcPr>
          <w:p>
            <w:r>
              <w:t>339</w:t>
            </w:r>
          </w:p>
        </w:tc>
        <w:tc>
          <w:tcPr>
            <w:tcW w:type="dxa" w:w="1234"/>
          </w:tcPr>
          <w:p>
            <w:r>
              <w:t>77.9%</w:t>
            </w:r>
          </w:p>
        </w:tc>
        <w:tc>
          <w:tcPr>
            <w:tcW w:type="dxa" w:w="1234"/>
          </w:tcPr>
          <w:p>
            <w:r>
              <w:t>4.46</w:t>
            </w:r>
          </w:p>
        </w:tc>
        <w:tc>
          <w:tcPr>
            <w:tcW w:type="dxa" w:w="1234"/>
          </w:tcPr>
          <w:p>
            <w:r>
              <w:t>339</w:t>
            </w:r>
          </w:p>
        </w:tc>
        <w:tc>
          <w:tcPr>
            <w:tcW w:type="dxa" w:w="1234"/>
          </w:tcPr>
          <w:p>
            <w:r>
              <w:t>83.8%</w:t>
            </w:r>
          </w:p>
        </w:tc>
        <w:tc>
          <w:tcPr>
            <w:tcW w:type="dxa" w:w="1234"/>
          </w:tcPr>
          <w:p>
            <w:r>
              <w:t>4.51</w:t>
            </w:r>
          </w:p>
        </w:tc>
      </w:tr>
    </w:tbl>
    <w:p>
      <w:pPr>
        <w:pStyle w:val="Heading2"/>
      </w:pPr>
      <w:r>
        <w:t>四、待确认事项</w:t>
      </w:r>
    </w:p>
    <w:p>
      <w:r>
        <w:t>D1门诊检查：manual expert detail中有1条status为“未经过”但仍有专家评分；若Table 1表示专家评分覆盖，可保留977；若表示实际执行检查，应改为976。</w:t>
      </w:r>
    </w:p>
    <w:p>
      <w:r>
        <w:t>D2住院检查：manual expert detail中有18条入院检查循环终止记录被专家评分；若Table 1表示专家评分覆盖，可保留357；若表示calibration-valid检查样本，应改为339。</w:t>
      </w:r>
    </w:p>
    <w:p>
      <w:r>
        <w:t>D1跨阶段一致性：当前source data来自cross-stage task设计，D1表示trajectory-anchor consistency，不是与前序阶段比较；建议后续在补表中改为NA或脚注说明。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