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Sürdürülebilirlik Raporu 2025</w:t>
      </w:r>
    </w:p>
    <w:p>
      <w:pPr>
        <w:jc w:val="center"/>
      </w:pPr>
      <w:r>
        <w:rPr>
          <w:b/>
          <w:sz w:val="48"/>
        </w:rPr>
        <w:t>Kıvanç Demir-Çelik A.Ş.</w:t>
      </w:r>
    </w:p>
    <w:p>
      <w:r>
        <w:br w:type="page"/>
      </w:r>
    </w:p>
    <w:p>
      <w:pPr>
        <w:pStyle w:val="Heading1"/>
      </w:pPr>
      <w:r>
        <w:t>CEO Mesajı</w:t>
      </w:r>
    </w:p>
    <w:p>
      <w:r>
        <w:br/>
        <w:t xml:space="preserve">    Değerli Paydaşlarımız,</w:t>
        <w:br/>
        <w:t xml:space="preserve">    </w:t>
        <w:br/>
        <w:t xml:space="preserve">    2025 yılı, Kıvanç Demir-Çelik için sürdürülebilirlik yolculuğunda bir dönüm noktası olmuştur. </w:t>
        <w:br/>
        <w:t xml:space="preserve">    "Gelecek İçin Çelik" vizyonumuz doğrultusunda, çevresel, sosyal ve yönetişimsel (ESG) performansımızı </w:t>
        <w:br/>
        <w:t xml:space="preserve">    en üst seviyeye taşımak için kararlı adımlar attık.</w:t>
        <w:br/>
        <w:t xml:space="preserve">    </w:t>
        <w:br/>
        <w:t xml:space="preserve">    Bu rapor, şeffaflık ve hesap verebilirlik ilkelerimiz çerçevesinde, yıl boyunca gerçekleştirdiğimiz </w:t>
        <w:br/>
        <w:t xml:space="preserve">    faaliyetleri ve elde ettiğimiz sonuçları sizlere sunmaktadır.</w:t>
        <w:br/>
        <w:t xml:space="preserve">    </w:t>
        <w:br/>
        <w:t xml:space="preserve">    Saygılarımla,</w:t>
        <w:br/>
        <w:t xml:space="preserve">    </w:t>
        <w:br/>
        <w:t xml:space="preserve">    Kıvanç Demir</w:t>
        <w:br/>
        <w:t xml:space="preserve">    CEO</w:t>
        <w:br/>
        <w:t xml:space="preserve">    </w:t>
      </w:r>
    </w:p>
    <w:p>
      <w:r>
        <w:br w:type="page"/>
      </w:r>
    </w:p>
    <w:p>
      <w:pPr>
        <w:pStyle w:val="Heading1"/>
      </w:pPr>
      <w:r>
        <w:t>Çevresel Performans</w:t>
      </w:r>
    </w:p>
    <w:p>
      <w:r>
        <w:br/>
        <w:t xml:space="preserve">    [AI ANALİZİ - 2025]</w:t>
        <w:br/>
        <w:t xml:space="preserve">    Kıvanç Demir-Çelik için yapılan analizler, 2025 yılı hedeflerine büyük ölçüde ulaşıldığını göstermektedir. </w:t>
        <w:br/>
        <w:t xml:space="preserve">    Özellikle Çevresel Performans alanında kaydedilen ilerleme, sektör ortalamasının üzerindedir. </w:t>
        <w:br/>
        <w:t xml:space="preserve">    Karbon ayak izi azaltma çalışmaları ve enerji verimliliği yatırımları, finansal performansa da olumlu yansımıştır.</w:t>
        <w:br/>
        <w:t xml:space="preserve">    Gelecek dönem için önerimiz, dijital dönüşüm ve döngüsel ekonomi uygulamalarına daha fazla odaklanılmasıdır.</w:t>
        <w:br/>
        <w:t xml:space="preserve">    </w:t>
      </w:r>
    </w:p>
    <w:p>
      <w:pPr>
        <w:pStyle w:val="Heading2"/>
      </w:pPr>
      <w:r>
        <w:t>Veri Tablosu: carbon_emissions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company_id</w:t>
            </w:r>
          </w:p>
        </w:tc>
        <w:tc>
          <w:tcPr>
            <w:tcW w:type="dxa" w:w="960"/>
          </w:tcPr>
          <w:p>
            <w:r>
              <w:t>scope</w:t>
            </w:r>
          </w:p>
        </w:tc>
        <w:tc>
          <w:tcPr>
            <w:tcW w:type="dxa" w:w="960"/>
          </w:tcPr>
          <w:p>
            <w:r>
              <w:t>category</w:t>
            </w:r>
          </w:p>
        </w:tc>
        <w:tc>
          <w:tcPr>
            <w:tcW w:type="dxa" w:w="960"/>
          </w:tcPr>
          <w:p>
            <w:r>
              <w:t>quantity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co2e_emissions</w:t>
            </w:r>
          </w:p>
        </w:tc>
        <w:tc>
          <w:tcPr>
            <w:tcW w:type="dxa" w:w="960"/>
          </w:tcPr>
          <w:p>
            <w:r>
              <w:t>period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Scope 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2358.7848149412193</w:t>
            </w:r>
          </w:p>
        </w:tc>
        <w:tc>
          <w:tcPr>
            <w:tcW w:type="dxa" w:w="960"/>
          </w:tcPr>
          <w:p>
            <w:r>
              <w:t>tCO2e</w:t>
            </w:r>
          </w:p>
        </w:tc>
        <w:tc>
          <w:tcPr>
            <w:tcW w:type="dxa" w:w="960"/>
          </w:tcPr>
          <w:p>
            <w:r>
              <w:t>2226.481829946033</w:t>
            </w:r>
          </w:p>
        </w:tc>
        <w:tc>
          <w:tcPr>
            <w:tcW w:type="dxa" w:w="960"/>
          </w:tcPr>
          <w:p>
            <w:r>
              <w:t>2025</w:t>
            </w:r>
          </w:p>
        </w:tc>
        <w:tc>
          <w:tcPr>
            <w:tcW w:type="dxa" w:w="960"/>
          </w:tcPr>
          <w:p>
            <w:r>
              <w:t>2026-01-04 21:39:48.466801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Scope 2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1026.429904447241</w:t>
            </w:r>
          </w:p>
        </w:tc>
        <w:tc>
          <w:tcPr>
            <w:tcW w:type="dxa" w:w="960"/>
          </w:tcPr>
          <w:p>
            <w:r>
              <w:t>tCO2e</w:t>
            </w:r>
          </w:p>
        </w:tc>
        <w:tc>
          <w:tcPr>
            <w:tcW w:type="dxa" w:w="960"/>
          </w:tcPr>
          <w:p>
            <w:r>
              <w:t>1101.1248164441372</w:t>
            </w:r>
          </w:p>
        </w:tc>
        <w:tc>
          <w:tcPr>
            <w:tcW w:type="dxa" w:w="960"/>
          </w:tcPr>
          <w:p>
            <w:r>
              <w:t>2025</w:t>
            </w:r>
          </w:p>
        </w:tc>
        <w:tc>
          <w:tcPr>
            <w:tcW w:type="dxa" w:w="960"/>
          </w:tcPr>
          <w:p>
            <w:r>
              <w:t>2026-01-04 21:39:48.466801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Scope 3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4785.733316394032</w:t>
            </w:r>
          </w:p>
        </w:tc>
        <w:tc>
          <w:tcPr>
            <w:tcW w:type="dxa" w:w="960"/>
          </w:tcPr>
          <w:p>
            <w:r>
              <w:t>tCO2e</w:t>
            </w:r>
          </w:p>
        </w:tc>
        <w:tc>
          <w:tcPr>
            <w:tcW w:type="dxa" w:w="960"/>
          </w:tcPr>
          <w:p>
            <w:r>
              <w:t>4327.7358826971085</w:t>
            </w:r>
          </w:p>
        </w:tc>
        <w:tc>
          <w:tcPr>
            <w:tcW w:type="dxa" w:w="960"/>
          </w:tcPr>
          <w:p>
            <w:r>
              <w:t>2025</w:t>
            </w:r>
          </w:p>
        </w:tc>
        <w:tc>
          <w:tcPr>
            <w:tcW w:type="dxa" w:w="960"/>
          </w:tcPr>
          <w:p>
            <w:r>
              <w:t>2026-01-04 21:39:48.466801</w:t>
            </w:r>
          </w:p>
        </w:tc>
      </w:tr>
    </w:tbl>
    <w:p>
      <w:r>
        <w:br/>
      </w:r>
    </w:p>
    <w:p>
      <w:pPr>
        <w:pStyle w:val="Heading2"/>
      </w:pPr>
      <w:r>
        <w:t>Veri Tablosu: energy_consumption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company_id</w:t>
            </w:r>
          </w:p>
        </w:tc>
        <w:tc>
          <w:tcPr>
            <w:tcW w:type="dxa" w:w="960"/>
          </w:tcPr>
          <w:p>
            <w:r>
              <w:t>energy_type</w:t>
            </w:r>
          </w:p>
        </w:tc>
        <w:tc>
          <w:tcPr>
            <w:tcW w:type="dxa" w:w="960"/>
          </w:tcPr>
          <w:p>
            <w:r>
              <w:t>consumption_amount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cost</w:t>
            </w:r>
          </w:p>
        </w:tc>
        <w:tc>
          <w:tcPr>
            <w:tcW w:type="dxa" w:w="960"/>
          </w:tcPr>
          <w:p>
            <w:r>
              <w:t>year</w:t>
            </w:r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Electricity</w:t>
            </w:r>
          </w:p>
        </w:tc>
        <w:tc>
          <w:tcPr>
            <w:tcW w:type="dxa" w:w="960"/>
          </w:tcPr>
          <w:p>
            <w:r>
              <w:t>500000.0</w:t>
            </w:r>
          </w:p>
        </w:tc>
        <w:tc>
          <w:tcPr>
            <w:tcW w:type="dxa" w:w="960"/>
          </w:tcPr>
          <w:p>
            <w:r>
              <w:t>kWh</w:t>
            </w:r>
          </w:p>
        </w:tc>
        <w:tc>
          <w:tcPr>
            <w:tcW w:type="dxa" w:w="960"/>
          </w:tcPr>
          <w:p>
            <w:r>
              <w:t>1500000.0</w:t>
            </w:r>
          </w:p>
        </w:tc>
        <w:tc>
          <w:tcPr>
            <w:tcW w:type="dxa" w:w="960"/>
          </w:tcPr>
          <w:p>
            <w:r>
              <w:t>2025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2026-01-04 21:39:48.466801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Natural Gas</w:t>
            </w:r>
          </w:p>
        </w:tc>
        <w:tc>
          <w:tcPr>
            <w:tcW w:type="dxa" w:w="960"/>
          </w:tcPr>
          <w:p>
            <w:r>
              <w:t>200000.0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800000.0</w:t>
            </w:r>
          </w:p>
        </w:tc>
        <w:tc>
          <w:tcPr>
            <w:tcW w:type="dxa" w:w="960"/>
          </w:tcPr>
          <w:p>
            <w:r>
              <w:t>2025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2026-01-04 21:39:48.466801</w:t>
            </w:r>
          </w:p>
        </w:tc>
      </w:tr>
    </w:tbl>
    <w:p>
      <w:r>
        <w:br/>
      </w:r>
    </w:p>
    <w:p>
      <w:pPr>
        <w:pStyle w:val="Heading2"/>
      </w:pPr>
      <w:r>
        <w:t>Veri Tablosu: water_consumption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company_id</w:t>
            </w:r>
          </w:p>
        </w:tc>
        <w:tc>
          <w:tcPr>
            <w:tcW w:type="dxa" w:w="1080"/>
          </w:tcPr>
          <w:p>
            <w:r>
              <w:t>source_type</w:t>
            </w:r>
          </w:p>
        </w:tc>
        <w:tc>
          <w:tcPr>
            <w:tcW w:type="dxa" w:w="1080"/>
          </w:tcPr>
          <w:p>
            <w:r>
              <w:t>consumption_amount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year</w:t>
            </w:r>
          </w:p>
        </w:tc>
        <w:tc>
          <w:tcPr>
            <w:tcW w:type="dxa" w:w="1080"/>
          </w:tcPr>
          <w:p>
            <w:r>
              <w:t>month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Mains Water</w:t>
            </w:r>
          </w:p>
        </w:tc>
        <w:tc>
          <w:tcPr>
            <w:tcW w:type="dxa" w:w="1080"/>
          </w:tcPr>
          <w:p>
            <w:r>
              <w:t>15000.0</w:t>
            </w:r>
          </w:p>
        </w:tc>
        <w:tc>
          <w:tcPr>
            <w:tcW w:type="dxa" w:w="1080"/>
          </w:tcPr>
          <w:p>
            <w:r>
              <w:t>m3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2026-01-04 21:39:48.466801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Recycled Water</w:t>
            </w:r>
          </w:p>
        </w:tc>
        <w:tc>
          <w:tcPr>
            <w:tcW w:type="dxa" w:w="1080"/>
          </w:tcPr>
          <w:p>
            <w:r>
              <w:t>5000.0</w:t>
            </w:r>
          </w:p>
        </w:tc>
        <w:tc>
          <w:tcPr>
            <w:tcW w:type="dxa" w:w="1080"/>
          </w:tcPr>
          <w:p>
            <w:r>
              <w:t>m3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2026-01-04 21:39:48.466801</w:t>
            </w:r>
          </w:p>
        </w:tc>
      </w:tr>
    </w:tbl>
    <w:p>
      <w:r>
        <w:br/>
      </w:r>
    </w:p>
    <w:p>
      <w:pPr>
        <w:pStyle w:val="Heading2"/>
      </w:pPr>
      <w:r>
        <w:t>Veri Tablosu: waste_generation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company_id</w:t>
            </w:r>
          </w:p>
        </w:tc>
        <w:tc>
          <w:tcPr>
            <w:tcW w:type="dxa" w:w="1080"/>
          </w:tcPr>
          <w:p>
            <w:r>
              <w:t>waste_type</w:t>
            </w:r>
          </w:p>
        </w:tc>
        <w:tc>
          <w:tcPr>
            <w:tcW w:type="dxa" w:w="1080"/>
          </w:tcPr>
          <w:p>
            <w:r>
              <w:t>amount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disposal_method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Metal Scrap</w:t>
            </w:r>
          </w:p>
        </w:tc>
        <w:tc>
          <w:tcPr>
            <w:tcW w:type="dxa" w:w="1080"/>
          </w:tcPr>
          <w:p>
            <w:r>
              <w:t>876.7548138249917</w:t>
            </w:r>
          </w:p>
        </w:tc>
        <w:tc>
          <w:tcPr>
            <w:tcW w:type="dxa" w:w="1080"/>
          </w:tcPr>
          <w:p>
            <w:r>
              <w:t>tons</w:t>
            </w:r>
          </w:p>
        </w:tc>
        <w:tc>
          <w:tcPr>
            <w:tcW w:type="dxa" w:w="1080"/>
          </w:tcPr>
          <w:p>
            <w:r>
              <w:t>Recycling</w:t>
            </w:r>
          </w:p>
        </w:tc>
        <w:tc>
          <w:tcPr>
            <w:tcW w:type="dxa" w:w="1080"/>
          </w:tcPr>
          <w:p>
            <w:r>
              <w:t>2025-01-01</w:t>
            </w:r>
          </w:p>
        </w:tc>
        <w:tc>
          <w:tcPr>
            <w:tcW w:type="dxa" w:w="1080"/>
          </w:tcPr>
          <w:p>
            <w:r>
              <w:t>2026-01-04 21:39:48.466801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Slag</w:t>
            </w:r>
          </w:p>
        </w:tc>
        <w:tc>
          <w:tcPr>
            <w:tcW w:type="dxa" w:w="1080"/>
          </w:tcPr>
          <w:p>
            <w:r>
              <w:t>673.0333912216782</w:t>
            </w:r>
          </w:p>
        </w:tc>
        <w:tc>
          <w:tcPr>
            <w:tcW w:type="dxa" w:w="1080"/>
          </w:tcPr>
          <w:p>
            <w:r>
              <w:t>tons</w:t>
            </w:r>
          </w:p>
        </w:tc>
        <w:tc>
          <w:tcPr>
            <w:tcW w:type="dxa" w:w="1080"/>
          </w:tcPr>
          <w:p>
            <w:r>
              <w:t>Recycling</w:t>
            </w:r>
          </w:p>
        </w:tc>
        <w:tc>
          <w:tcPr>
            <w:tcW w:type="dxa" w:w="1080"/>
          </w:tcPr>
          <w:p>
            <w:r>
              <w:t>2025-01-01</w:t>
            </w:r>
          </w:p>
        </w:tc>
        <w:tc>
          <w:tcPr>
            <w:tcW w:type="dxa" w:w="1080"/>
          </w:tcPr>
          <w:p>
            <w:r>
              <w:t>2026-01-04 21:39:48.466801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General Waste</w:t>
            </w:r>
          </w:p>
        </w:tc>
        <w:tc>
          <w:tcPr>
            <w:tcW w:type="dxa" w:w="1080"/>
          </w:tcPr>
          <w:p>
            <w:r>
              <w:t>293.12218284088243</w:t>
            </w:r>
          </w:p>
        </w:tc>
        <w:tc>
          <w:tcPr>
            <w:tcW w:type="dxa" w:w="1080"/>
          </w:tcPr>
          <w:p>
            <w:r>
              <w:t>tons</w:t>
            </w:r>
          </w:p>
        </w:tc>
        <w:tc>
          <w:tcPr>
            <w:tcW w:type="dxa" w:w="1080"/>
          </w:tcPr>
          <w:p>
            <w:r>
              <w:t>Recycling</w:t>
            </w:r>
          </w:p>
        </w:tc>
        <w:tc>
          <w:tcPr>
            <w:tcW w:type="dxa" w:w="1080"/>
          </w:tcPr>
          <w:p>
            <w:r>
              <w:t>2025-01-01</w:t>
            </w:r>
          </w:p>
        </w:tc>
        <w:tc>
          <w:tcPr>
            <w:tcW w:type="dxa" w:w="1080"/>
          </w:tcPr>
          <w:p>
            <w:r>
              <w:t>2026-01-04 21:39:48.466801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Hazardous Waste</w:t>
            </w:r>
          </w:p>
        </w:tc>
        <w:tc>
          <w:tcPr>
            <w:tcW w:type="dxa" w:w="1080"/>
          </w:tcPr>
          <w:p>
            <w:r>
              <w:t>489.623140484188</w:t>
            </w:r>
          </w:p>
        </w:tc>
        <w:tc>
          <w:tcPr>
            <w:tcW w:type="dxa" w:w="1080"/>
          </w:tcPr>
          <w:p>
            <w:r>
              <w:t>tons</w:t>
            </w:r>
          </w:p>
        </w:tc>
        <w:tc>
          <w:tcPr>
            <w:tcW w:type="dxa" w:w="1080"/>
          </w:tcPr>
          <w:p>
            <w:r>
              <w:t>Special Treatment</w:t>
            </w:r>
          </w:p>
        </w:tc>
        <w:tc>
          <w:tcPr>
            <w:tcW w:type="dxa" w:w="1080"/>
          </w:tcPr>
          <w:p>
            <w:r>
              <w:t>2025-01-01</w:t>
            </w:r>
          </w:p>
        </w:tc>
        <w:tc>
          <w:tcPr>
            <w:tcW w:type="dxa" w:w="1080"/>
          </w:tcPr>
          <w:p>
            <w:r>
              <w:t>2026-01-04 21:39:48.466801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Sosyal Etki</w:t>
      </w:r>
    </w:p>
    <w:p>
      <w:r>
        <w:br/>
        <w:t xml:space="preserve">    [AI ANALİZİ - 2025]</w:t>
        <w:br/>
        <w:t xml:space="preserve">    Kıvanç Demir-Çelik için yapılan analizler, 2025 yılı hedeflerine büyük ölçüde ulaşıldığını göstermektedir. </w:t>
        <w:br/>
        <w:t xml:space="preserve">    Özellikle Sosyal Etki alanında kaydedilen ilerleme, sektör ortalamasının üzerindedir. </w:t>
        <w:br/>
        <w:t xml:space="preserve">    Karbon ayak izi azaltma çalışmaları ve enerji verimliliği yatırımları, finansal performansa da olumlu yansımıştır.</w:t>
        <w:br/>
        <w:t xml:space="preserve">    Gelecek dönem için önerimiz, dijital dönüşüm ve döngüsel ekonomi uygulamalarına daha fazla odaklanılmasıdır.</w:t>
        <w:br/>
        <w:t xml:space="preserve">    </w:t>
      </w:r>
    </w:p>
    <w:p>
      <w:r>
        <w:br w:type="page"/>
      </w:r>
    </w:p>
    <w:p>
      <w:pPr>
        <w:pStyle w:val="Heading1"/>
      </w:pPr>
      <w:r>
        <w:t>Yönetişim (Governance)</w:t>
      </w:r>
    </w:p>
    <w:p>
      <w:r>
        <w:br/>
        <w:t xml:space="preserve">    [AI ANALİZİ - 2025]</w:t>
        <w:br/>
        <w:t xml:space="preserve">    Kıvanç Demir-Çelik için yapılan analizler, 2025 yılı hedeflerine büyük ölçüde ulaşıldığını göstermektedir. </w:t>
        <w:br/>
        <w:t xml:space="preserve">    Özellikle Yönetişim (Governance) alanında kaydedilen ilerleme, sektör ortalamasının üzerindedir. </w:t>
        <w:br/>
        <w:t xml:space="preserve">    Karbon ayak izi azaltma çalışmaları ve enerji verimliliği yatırımları, finansal performansa da olumlu yansımıştır.</w:t>
        <w:br/>
        <w:t xml:space="preserve">    Gelecek dönem için önerimiz, dijital dönüşüm ve döngüsel ekonomi uygulamalarına daha fazla odaklanılmasıdır.</w:t>
        <w:br/>
        <w:t xml:space="preserve">    </w:t>
      </w:r>
    </w:p>
    <w:p>
      <w:pPr>
        <w:pStyle w:val="Heading2"/>
      </w:pPr>
      <w:r>
        <w:t>Veri Tablosu: governance_structure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company_id</w:t>
            </w:r>
          </w:p>
        </w:tc>
        <w:tc>
          <w:tcPr>
            <w:tcW w:type="dxa" w:w="1728"/>
          </w:tcPr>
          <w:p>
            <w:r>
              <w:t>member_name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independent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Name Surname CEO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Name Surname CFO</w:t>
            </w:r>
          </w:p>
        </w:tc>
        <w:tc>
          <w:tcPr>
            <w:tcW w:type="dxa" w:w="1728"/>
          </w:tcPr>
          <w:p>
            <w:r>
              <w:t>CFO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Name Surname CSO</w:t>
            </w:r>
          </w:p>
        </w:tc>
        <w:tc>
          <w:tcPr>
            <w:tcW w:type="dxa" w:w="1728"/>
          </w:tcPr>
          <w:p>
            <w:r>
              <w:t>CSO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Name Surname Board Member</w:t>
            </w:r>
          </w:p>
        </w:tc>
        <w:tc>
          <w:tcPr>
            <w:tcW w:type="dxa" w:w="1728"/>
          </w:tcPr>
          <w:p>
            <w:r>
              <w:t>Board Member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Name Surname Independent Member</w:t>
            </w:r>
          </w:p>
        </w:tc>
        <w:tc>
          <w:tcPr>
            <w:tcW w:type="dxa" w:w="1728"/>
          </w:tcPr>
          <w:p>
            <w:r>
              <w:t>Independent Member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SDG Performansı</w:t>
      </w:r>
    </w:p>
    <w:p>
      <w:r>
        <w:br/>
        <w:t xml:space="preserve">    [AI ANALİZİ - 2025]</w:t>
        <w:br/>
        <w:t xml:space="preserve">    Kıvanç Demir-Çelik için yapılan analizler, 2025 yılı hedeflerine büyük ölçüde ulaşıldığını göstermektedir. </w:t>
        <w:br/>
        <w:t xml:space="preserve">    Özellikle SDG Performansı alanında kaydedilen ilerleme, sektör ortalamasının üzerindedir. </w:t>
        <w:br/>
        <w:t xml:space="preserve">    Karbon ayak izi azaltma çalışmaları ve enerji verimliliği yatırımları, finansal performansa da olumlu yansımıştır.</w:t>
        <w:br/>
        <w:t xml:space="preserve">    Gelecek dönem için önerimiz, dijital dönüşüm ve döngüsel ekonomi uygulamalarına daha fazla odaklanılmasıdır.</w:t>
        <w:br/>
        <w:t xml:space="preserve">    </w:t>
      </w:r>
    </w:p>
    <w:p>
      <w:pPr>
        <w:pStyle w:val="Heading2"/>
      </w:pPr>
      <w:r>
        <w:t>Veri Tablosu: sdg_progress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company_id</w:t>
            </w:r>
          </w:p>
        </w:tc>
        <w:tc>
          <w:tcPr>
            <w:tcW w:type="dxa" w:w="1728"/>
          </w:tcPr>
          <w:p>
            <w:r>
              <w:t>goal_id</w:t>
            </w:r>
          </w:p>
        </w:tc>
        <w:tc>
          <w:tcPr>
            <w:tcW w:type="dxa" w:w="1728"/>
          </w:tcPr>
          <w:p>
            <w:r>
              <w:t>progress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76.91790150878182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80.67598139982631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57.660426683643266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80.52570819852596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94.84348841266485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TCFD &amp; İklim Riskleri</w:t>
      </w:r>
    </w:p>
    <w:p>
      <w:r>
        <w:br/>
        <w:t xml:space="preserve">    [AI ANALİZİ - 2025]</w:t>
        <w:br/>
        <w:t xml:space="preserve">    Kıvanç Demir-Çelik için yapılan analizler, 2025 yılı hedeflerine büyük ölçüde ulaşıldığını göstermektedir. </w:t>
        <w:br/>
        <w:t xml:space="preserve">    Özellikle TCFD &amp; İklim Riskleri alanında kaydedilen ilerleme, sektör ortalamasının üzerindedir. </w:t>
        <w:br/>
        <w:t xml:space="preserve">    Karbon ayak izi azaltma çalışmaları ve enerji verimliliği yatırımları, finansal performansa da olumlu yansımıştır.</w:t>
        <w:br/>
        <w:t xml:space="preserve">    Gelecek dönem için önerimiz, dijital dönüşüm ve döngüsel ekonomi uygulamalarına daha fazla odaklanılmasıdır.</w:t>
        <w:br/>
        <w:t xml:space="preserve">    </w:t>
      </w:r>
    </w:p>
    <w:p>
      <w:r>
        <w:br w:type="page"/>
      </w:r>
    </w:p>
    <w:p>
      <w:pPr>
        <w:pStyle w:val="Heading1"/>
      </w:pPr>
      <w:r>
        <w:t>AB Yeşil Mutabakatı (CBAM &amp; Taxonomy)</w:t>
      </w:r>
    </w:p>
    <w:p>
      <w:r>
        <w:br/>
        <w:t xml:space="preserve">    [AI ANALİZİ - 2025]</w:t>
        <w:br/>
        <w:t xml:space="preserve">    Kıvanç Demir-Çelik için yapılan analizler, 2025 yılı hedeflerine büyük ölçüde ulaşıldığını göstermektedir. </w:t>
        <w:br/>
        <w:t xml:space="preserve">    Özellikle AB Yeşil Mutabakatı (CBAM &amp; Taxonomy) alanında kaydedilen ilerleme, sektör ortalamasının üzerindedir. </w:t>
        <w:br/>
        <w:t xml:space="preserve">    Karbon ayak izi azaltma çalışmaları ve enerji verimliliği yatırımları, finansal performansa da olumlu yansımıştır.</w:t>
        <w:br/>
        <w:t xml:space="preserve">    Gelecek dönem için önerimiz, dijital dönüşüm ve döngüsel ekonomi uygulamalarına daha fazla odaklanılmasıdır.</w:t>
        <w:br/>
        <w:t xml:space="preserve">    </w:t>
      </w:r>
    </w:p>
    <w:p>
      <w:r>
        <w:br w:type="page"/>
      </w:r>
    </w:p>
    <w:p>
      <w:pPr>
        <w:pStyle w:val="Heading1"/>
      </w:pPr>
      <w:r>
        <w:t>GRI İçerik İndeksi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GRI Standart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  <w:tc>
          <w:tcPr>
            <w:tcW w:type="dxa" w:w="2880"/>
          </w:tcPr>
          <w:p>
            <w:r>
              <w:t>Sayfa No</w:t>
            </w:r>
          </w:p>
        </w:tc>
      </w:tr>
      <w:tr>
        <w:tc>
          <w:tcPr>
            <w:tcW w:type="dxa" w:w="2880"/>
          </w:tcPr>
          <w:p>
            <w:r>
              <w:t>GRI 102</w:t>
            </w:r>
          </w:p>
        </w:tc>
        <w:tc>
          <w:tcPr>
            <w:tcW w:type="dxa" w:w="2880"/>
          </w:tcPr>
          <w:p>
            <w:r>
              <w:t>Genel Açıklamalar</w:t>
            </w:r>
          </w:p>
        </w:tc>
        <w:tc>
          <w:tcPr>
            <w:tcW w:type="dxa" w:w="2880"/>
          </w:tcPr>
          <w:p>
            <w:r>
              <w:t>5-12</w:t>
            </w:r>
          </w:p>
        </w:tc>
      </w:tr>
      <w:tr>
        <w:tc>
          <w:tcPr>
            <w:tcW w:type="dxa" w:w="2880"/>
          </w:tcPr>
          <w:p>
            <w:r>
              <w:t>GRI 201</w:t>
            </w:r>
          </w:p>
        </w:tc>
        <w:tc>
          <w:tcPr>
            <w:tcW w:type="dxa" w:w="2880"/>
          </w:tcPr>
          <w:p>
            <w:r>
              <w:t>Ekonomik Performans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GRI 302</w:t>
            </w:r>
          </w:p>
        </w:tc>
        <w:tc>
          <w:tcPr>
            <w:tcW w:type="dxa" w:w="2880"/>
          </w:tcPr>
          <w:p>
            <w:r>
              <w:t>Enerji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GRI 305</w:t>
            </w:r>
          </w:p>
        </w:tc>
        <w:tc>
          <w:tcPr>
            <w:tcW w:type="dxa" w:w="2880"/>
          </w:tcPr>
          <w:p>
            <w:r>
              <w:t>Emisyonlar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GRI 401</w:t>
            </w:r>
          </w:p>
        </w:tc>
        <w:tc>
          <w:tcPr>
            <w:tcW w:type="dxa" w:w="2880"/>
          </w:tcPr>
          <w:p>
            <w:r>
              <w:t>İstihdam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