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9.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p>
      <w:pPr>
        <w:pStyle w:val="Heading1"/>
        <w:jc w:val="left"/>
      </w:pPr>
      <w:r>
        <w:t>10. UN Global Compact Uyum</w:t>
      </w:r>
    </w:p>
    <w:p>
      <w:r>
        <w:t>Toplam UNGC Skoru: %8750.0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9000.0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8500.0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</w:tr>
    </w:tbl>
    <w:p>
      <w:r/>
    </w:p>
    <w:p>
      <w:r>
        <w:t>Kategori Bazında Skorlar:</w:t>
      </w:r>
    </w:p>
    <w:p>
      <w:r>
        <w:t>- Human Rights: %9500.0</w:t>
      </w:r>
    </w:p>
    <w:p>
      <w:r>
        <w:t>- Labour: %8875.0</w:t>
      </w:r>
    </w:p>
    <w:p>
      <w:r>
        <w:t>- Environment: %7833.3</w:t>
      </w:r>
    </w:p>
    <w:p>
      <w:r>
        <w:t>- Anti-Corruption: %9500.0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11.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