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1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Full Test Report 1768929139</w:t>
      </w:r>
    </w:p>
    <w:p>
      <w:r>
        <w:rPr>
          <w:sz w:val="20"/>
        </w:rPr>
        <w:t>Şirket ID: 1</w:t>
        <w:br/>
        <w:t>Raporlama Dönemi: 2024</w:t>
        <w:br/>
        <w:t>Oluşturma Tarihi: 20.01.2026 20:14</w:t>
        <w:br/>
      </w:r>
    </w:p>
    <w:p>
      <w:pPr>
        <w:pStyle w:val="Heading1"/>
        <w:jc w:val="left"/>
      </w:pPr>
      <w:r>
        <w:t>1. Kapsam ve Seçilen Modüller</w:t>
      </w:r>
    </w:p>
    <w:p>
      <w:r>
        <w:t>- water</w:t>
      </w:r>
    </w:p>
    <w:p>
      <w:r>
        <w:t>- energy</w:t>
      </w:r>
    </w:p>
    <w:p>
      <w:r>
        <w:t>- waste</w:t>
      </w:r>
    </w:p>
    <w:p>
      <w:r>
        <w:t>- carbon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cbam</w:t>
      </w:r>
    </w:p>
    <w:p>
      <w:r>
        <w:t>- csrd</w:t>
      </w:r>
    </w:p>
    <w:p>
      <w:r>
        <w:t>- taxonomy</w:t>
      </w:r>
    </w:p>
    <w:p>
      <w:r>
        <w:t>- economic</w:t>
      </w:r>
    </w:p>
    <w:p>
      <w:r>
        <w:t>- supply_chain</w:t>
      </w:r>
    </w:p>
    <w:p>
      <w:r>
        <w:t>- social</w:t>
      </w:r>
    </w:p>
    <w:p>
      <w:r>
        <w:t>- governance</w:t>
      </w:r>
    </w:p>
    <w:p>
      <w:r>
        <w:t>- issb</w:t>
      </w:r>
    </w:p>
    <w:p>
      <w:r>
        <w:t>- iirc</w:t>
      </w:r>
    </w:p>
    <w:p>
      <w:r>
        <w:t>- tcfd</w:t>
      </w:r>
    </w:p>
    <w:p>
      <w:r>
        <w:t>- tnfd</w:t>
      </w:r>
    </w:p>
    <w:p>
      <w:r>
        <w:t>- sasb</w:t>
      </w:r>
    </w:p>
    <w:p>
      <w:pPr>
        <w:pStyle w:val="Heading1"/>
        <w:jc w:val="left"/>
      </w:pPr>
      <w:r>
        <w:t>2. Modül Bazlı Mevcut Raporlar</w:t>
      </w:r>
    </w:p>
    <w:p>
      <w:r>
        <w:t>- esg: Sürdürülebilirlik Raporu 2026 (DOCX, 2026, 2026-01-17 22:55:20)</w:t>
      </w:r>
    </w:p>
    <w:p>
      <w:r/>
    </w:p>
    <w:p>
      <w:r>
        <w:t>Modül Bazında Rapor Sayıları:</w:t>
      </w:r>
    </w:p>
    <w:p>
      <w:r>
        <w:t>- esg: 1 rapor</w:t>
      </w:r>
    </w:p>
    <w:p>
      <w:pPr>
        <w:pStyle w:val="Heading1"/>
        <w:jc w:val="left"/>
      </w:pPr>
      <w:r>
        <w:t>4. Kullanıcı Açıklaması</w:t>
      </w:r>
    </w:p>
    <w:p>
      <w:r>
        <w:t>End-to-end test of 19 modules</w:t>
      </w:r>
    </w:p>
    <w:p>
      <w:pPr>
        <w:pStyle w:val="Heading1"/>
        <w:jc w:val="left"/>
      </w:pPr>
      <w:r>
        <w:t>5. Çevresel Metrikler</w:t>
      </w:r>
    </w:p>
    <w:p>
      <w:r>
        <w:t>- Toplam enerji tüketimi: 50,500.00</w:t>
      </w:r>
    </w:p>
    <w:p>
      <w:r>
        <w:rPr>
          <w:b/>
        </w:rPr>
        <w:t xml:space="preserve">  Enerji türüne göre dağılım:</w:t>
      </w:r>
    </w:p>
    <w:p>
      <w:r>
        <w:t xml:space="preserve">  - Electricity: 500.00</w:t>
      </w:r>
    </w:p>
    <w:p>
      <w:r>
        <w:t xml:space="preserve">  - Elektrik: 40,000.00</w:t>
      </w:r>
    </w:p>
    <w:p>
      <w:r>
        <w:t xml:space="preserve">  - Gunes: 10,000.00</w:t>
      </w:r>
    </w:p>
    <w:p>
      <w:r>
        <w:t>- Toplam su tüketimi: 5,050.00</w:t>
      </w:r>
    </w:p>
    <w:p>
      <w:r>
        <w:rPr>
          <w:b/>
        </w:rPr>
        <w:t xml:space="preserve">  Su kaynağına göre dağılım:</w:t>
      </w:r>
    </w:p>
    <w:p>
      <w:r>
        <w:t xml:space="preserve">  - : 50.00</w:t>
      </w:r>
    </w:p>
    <w:p>
      <w:r>
        <w:t xml:space="preserve">  - Sebeke: 5,000.00</w:t>
      </w:r>
    </w:p>
    <w:p>
      <w:pPr>
        <w:pStyle w:val="Heading1"/>
        <w:jc w:val="left"/>
      </w:pPr>
      <w:r>
        <w:t>6. AB Taksonomisi Metrikleri</w:t>
      </w:r>
    </w:p>
    <w:p>
      <w:r>
        <w:t>Toplam gelir: 2,000,000.00 EUR</w:t>
      </w:r>
    </w:p>
    <w:p>
      <w:r>
        <w:t>Uyumlu gelir: 2,000,000.00 EUR (%100.0)</w:t>
      </w:r>
    </w:p>
    <w:p>
      <w:r>
        <w:t>Toplam CapEx: 1,000,000.00 EUR</w:t>
      </w:r>
    </w:p>
    <w:p>
      <w:r>
        <w:t>Uyumlu CapEx: 1,000,000.00 EUR (%100.0)</w:t>
      </w:r>
    </w:p>
    <w:p>
      <w:r>
        <w:t>Toplam OpEx: 400,000.00 EUR</w:t>
      </w:r>
    </w:p>
    <w:p>
      <w:r>
        <w:t>Uyumlu OpEx: 400,000.00 EUR (%100.0)</w:t>
      </w:r>
    </w:p>
    <w:p>
      <w:r>
        <w:rPr>
          <w:b/>
        </w:rPr>
        <w:t>Çevresel hedef bazında uyumlu gelir:</w:t>
      </w:r>
    </w:p>
    <w:p>
      <w:r>
        <w:t>- CCM: 2,000,000.00 EUR</w:t>
      </w:r>
    </w:p>
    <w:p>
      <w:pPr>
        <w:pStyle w:val="Heading1"/>
        <w:jc w:val="left"/>
      </w:pPr>
      <w:r>
        <w:t>7. ESG Skorları</w:t>
      </w:r>
    </w:p>
    <w:p>
      <w:r>
        <w:t>Genel ESG Skoru: %0.0 | E %0.0, S %0.0, G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Kaynak</w:t>
            </w:r>
          </w:p>
        </w:tc>
        <w:tc>
          <w:tcPr>
            <w:tcW w:type="dxa" w:w="2880"/>
          </w:tcPr>
          <w:p>
            <w:r>
              <w:t>Yanıtlanan</w:t>
            </w:r>
          </w:p>
        </w:tc>
        <w:tc>
          <w:tcPr>
            <w:tcW w:type="dxa" w:w="2880"/>
          </w:tcPr>
          <w:p>
            <w:r>
              <w:t>Toplam</w:t>
            </w:r>
          </w:p>
        </w:tc>
      </w:tr>
      <w:tr>
        <w:tc>
          <w:tcPr>
            <w:tcW w:type="dxa" w:w="2880"/>
          </w:tcPr>
          <w:p>
            <w:r>
              <w:t>GRI (E/S/G2)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TSRS (E/S/G)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Bonus Kaynaklar (SDG Yanıtları)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>
      <w:pPr>
        <w:pStyle w:val="Heading1"/>
        <w:jc w:val="left"/>
      </w:pPr>
      <w:r>
        <w:t>8. UN Global Compact Uyum</w:t>
      </w:r>
    </w:p>
    <w:p>
      <w:r>
        <w:t>Toplam UNGC Skoru: %0.0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İlke</w:t>
            </w:r>
          </w:p>
        </w:tc>
        <w:tc>
          <w:tcPr>
            <w:tcW w:type="dxa" w:w="2160"/>
          </w:tcPr>
          <w:p>
            <w:r>
              <w:t>Kategori</w:t>
            </w:r>
          </w:p>
        </w:tc>
        <w:tc>
          <w:tcPr>
            <w:tcW w:type="dxa" w:w="2160"/>
          </w:tcPr>
          <w:p>
            <w:r>
              <w:t>Durum</w:t>
            </w:r>
          </w:p>
        </w:tc>
        <w:tc>
          <w:tcPr>
            <w:tcW w:type="dxa" w:w="2160"/>
          </w:tcPr>
          <w:p>
            <w:r>
              <w:t>Skor %</w:t>
            </w:r>
          </w:p>
        </w:tc>
      </w:tr>
      <w:tr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P2</w:t>
            </w:r>
          </w:p>
        </w:tc>
        <w:tc>
          <w:tcPr>
            <w:tcW w:type="dxa" w:w="2160"/>
          </w:tcPr>
          <w:p>
            <w:r>
              <w:t>Human Rights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P3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P4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P5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P6</w:t>
            </w:r>
          </w:p>
        </w:tc>
        <w:tc>
          <w:tcPr>
            <w:tcW w:type="dxa" w:w="2160"/>
          </w:tcPr>
          <w:p>
            <w:r>
              <w:t>Labour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P7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P8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P9</w:t>
            </w:r>
          </w:p>
        </w:tc>
        <w:tc>
          <w:tcPr>
            <w:tcW w:type="dxa" w:w="2160"/>
          </w:tcPr>
          <w:p>
            <w:r>
              <w:t>Environment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  <w:tr>
        <w:tc>
          <w:tcPr>
            <w:tcW w:type="dxa" w:w="2160"/>
          </w:tcPr>
          <w:p>
            <w:r>
              <w:t>P10</w:t>
            </w:r>
          </w:p>
        </w:tc>
        <w:tc>
          <w:tcPr>
            <w:tcW w:type="dxa" w:w="2160"/>
          </w:tcPr>
          <w:p>
            <w:r>
              <w:t>Anti-Corruption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</w:tr>
    </w:tbl>
    <w:p>
      <w:r/>
    </w:p>
    <w:p>
      <w:r>
        <w:t>Kategori Bazında Skorlar:</w:t>
      </w:r>
    </w:p>
    <w:p>
      <w:r>
        <w:t>- Human Rights: %0.0</w:t>
      </w:r>
    </w:p>
    <w:p>
      <w:r>
        <w:t>- Labour: %0.0</w:t>
      </w:r>
    </w:p>
    <w:p>
      <w:r>
        <w:t>- Environment: %0.0</w:t>
      </w:r>
    </w:p>
    <w:p>
      <w:r>
        <w:t>- Anti-Corruption: %0.0</w:t>
      </w:r>
    </w:p>
    <w:p>
      <w:r/>
    </w:p>
    <w:p>
      <w:r>
        <w:t>UNGC Seviye Sınıflandırması:</w:t>
      </w:r>
    </w:p>
    <w:p>
      <w:r>
        <w:t>- Seviye: Learner</w:t>
      </w:r>
    </w:p>
    <w:p>
      <w:r>
        <w:t>- Açıklama: Başlangıç seviyesi - İlkeleri öğrenme ve uygulamaya başlama</w:t>
      </w:r>
    </w:p>
    <w:p>
      <w:r>
        <w:t>Öne çıkan gereklilikler:</w:t>
      </w:r>
    </w:p>
    <w:p>
      <w:r>
        <w:t xml:space="preserve">  - Submit annual COP</w:t>
      </w:r>
    </w:p>
    <w:p>
      <w:r>
        <w:t xml:space="preserve">  - Have basic policies in place</w:t>
      </w:r>
    </w:p>
    <w:p>
      <w:r>
        <w:t xml:space="preserve">  - Demonstrate commitment to improvement</w:t>
      </w:r>
    </w:p>
    <w:p>
      <w:pPr>
        <w:pStyle w:val="Heading1"/>
        <w:jc w:val="left"/>
      </w:pPr>
      <w:r>
        <w:t>9. Metodoloji ve Veri Kalitesi</w:t>
      </w:r>
    </w:p>
    <w:p>
      <w:r>
        <w:t>Metodoloji:</w:t>
      </w:r>
    </w:p>
    <w:p>
      <w:r>
        <w:t>Bu rapor, şirket tarafından sağlanan SDG göstergeleri yanıtları ve ilgili kanıt/doküman referansları temel alınarak hazırlanmıştır. Veri toplama, standart soru setleri üzerinden yürütülmüş, ilerleme yüzdeleri yanıtların tamamlanma durumuna göre hesaplanmıştır. Eşleştirmeler resmi SDG-GRI ve TSRS haritaları üzerinden türetilmiştir.</w:t>
      </w:r>
    </w:p>
    <w:p>
      <w:r>
        <w:t>Kapsam:</w:t>
      </w:r>
    </w:p>
    <w:p>
      <w:r>
        <w:t>Kapsam: Bu rapor yalnızca değerlendirilen dönem ve mevcut veri kaynakları ile sınırlıdır. Birim bazlı detaylar, şirketin beyan ettiği sorumluluk ve veri yöntemlerine göre derlenmiştir.</w:t>
      </w:r>
    </w:p>
    <w:p>
      <w:r>
        <w:t>Doğrulama Özeti:</w:t>
      </w:r>
    </w:p>
    <w:p>
      <w:r>
        <w:t>error: 0, warning: 0, info: 0</w:t>
      </w:r>
    </w:p>
    <w:p>
      <w:r>
        <w:t>Kalite Skorları (ortalama): Eksiksizlik %0, Doğruluk %0, Tutarlılık %0, Güncellik %0, Genel %0.</w:t>
      </w:r>
    </w:p>
    <w:p>
      <w:r>
        <w:t>Veri kaynakları ve yönetişim beyanları sisteme girilmemiş.</w:t>
      </w:r>
    </w:p>
    <w:p>
      <w:pPr>
        <w:pStyle w:val="Heading1"/>
        <w:jc w:val="left"/>
      </w:pPr>
      <w:r>
        <w:t>10. GRI 303: Su ve Deşarjlar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Metrik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Toplam Su Ayak İzi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Mavi Su (m³)</w:t>
            </w:r>
          </w:p>
        </w:tc>
        <w:tc>
          <w:tcPr>
            <w:tcW w:type="dxa" w:w="4320"/>
          </w:tcPr>
          <w:p>
            <w:r>
              <w:t>5050.0</w:t>
            </w:r>
          </w:p>
        </w:tc>
      </w:tr>
      <w:tr>
        <w:tc>
          <w:tcPr>
            <w:tcW w:type="dxa" w:w="4320"/>
          </w:tcPr>
          <w:p>
            <w:r>
              <w:t>Yeşil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Gri Su (m³)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Verimlilik Oranı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Ortalama Geri Dönüşüm Oranı</w:t>
            </w:r>
          </w:p>
        </w:tc>
        <w:tc>
          <w:tcPr>
            <w:tcW w:type="dxa" w:w="4320"/>
          </w:tcPr>
          <w:p>
            <w:r>
              <w:t>9.900990099009901</w:t>
            </w:r>
          </w:p>
        </w:tc>
      </w:tr>
    </w:tbl>
    <w:p>
      <w:pPr>
        <w:pStyle w:val="Heading1"/>
        <w:jc w:val="left"/>
      </w:pPr>
      <w:r>
        <w:t>11. SDG / GRI / TSRS Özetleri</w:t>
      </w:r>
    </w:p>
    <w:p>
      <w:r>
        <w:t>Toplam 1 gösterge için veri girildi. Ortalama ilerleme: %50.0.</w:t>
      </w:r>
    </w:p>
    <w:p>
      <w:r>
        <w:t>Seçili SDG göstergeleri ile ilişkili 1 farklı GRI açıklaması bulundu.</w:t>
      </w:r>
    </w:p>
    <w:p>
      <w:r>
        <w:t>TSRS eşleştirme verisi bulunamadı.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