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SUSTAINAGE PC-5 — Giriş, Yetkilendirme, Lisans ve Modül Yönetimi Teknik Özeti</w:t>
      </w:r>
    </w:p>
    <w:p>
      <w:r>
        <w:t>Bu doküman, Sustainage PC uygulamasında giriş (auth), rol tabanlı yetki, modül açma/kapama, lisans üretimi/aktivasyonu ve güvenlik ilkelerini, başka bir yapay zekâ tarafından uygulanabilir şekilde sıraya koyarak özetler.</w:t>
      </w:r>
    </w:p>
    <w:p>
      <w:pPr>
        <w:pStyle w:val="Heading1"/>
      </w:pPr>
      <w:r>
        <w:t>1) Roller ve Yetki Matrisi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Tanım</w:t>
            </w:r>
          </w:p>
        </w:tc>
        <w:tc>
          <w:tcPr>
            <w:tcW w:type="dxa" w:w="2880"/>
          </w:tcPr>
          <w:p>
            <w:r>
              <w:t>Başlıca Yetkiler</w:t>
            </w:r>
          </w:p>
        </w:tc>
      </w:tr>
      <w:tr>
        <w:tc>
          <w:tcPr>
            <w:tcW w:type="dxa" w:w="2880"/>
          </w:tcPr>
          <w:p>
            <w:r>
              <w:t>super_admin</w:t>
            </w:r>
          </w:p>
        </w:tc>
        <w:tc>
          <w:tcPr>
            <w:tcW w:type="dxa" w:w="2880"/>
          </w:tcPr>
          <w:p>
            <w:r>
              <w:t>Sistemin en yetkili hesabı</w:t>
            </w:r>
          </w:p>
        </w:tc>
        <w:tc>
          <w:tcPr>
            <w:tcW w:type="dxa" w:w="2880"/>
          </w:tcPr>
          <w:p>
            <w:r>
              <w:t>Lisans yönetimi, modül toggle, tüm org/kullanıcılar, tam CRUD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Organizasyon yöneticisi</w:t>
            </w:r>
          </w:p>
        </w:tc>
        <w:tc>
          <w:tcPr>
            <w:tcW w:type="dxa" w:w="2880"/>
          </w:tcPr>
          <w:p>
            <w:r>
              <w:t>Kendi organizasyonunda kullanıcı/modül yönetimi (izin verildikçe), raporlar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Uygulama kullanıcısı</w:t>
            </w:r>
          </w:p>
        </w:tc>
        <w:tc>
          <w:tcPr>
            <w:tcW w:type="dxa" w:w="2880"/>
          </w:tcPr>
          <w:p>
            <w:r>
              <w:t>Atanmış modüllerde sınırlı okuma/yazma</w:t>
            </w:r>
          </w:p>
        </w:tc>
      </w:tr>
    </w:tbl>
    <w:p>
      <w:pPr>
        <w:pStyle w:val="Heading1"/>
      </w:pPr>
      <w:r>
        <w:t>2) Veri Modeli (Önerilen Tablolar)</w:t>
      </w:r>
    </w:p>
    <w:p>
      <w:r>
        <w:t>Temel tablolar: users, organizations, modules, organization_modules, licenses, activations, audit_logs, revocation_list.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Tablo</w:t>
            </w:r>
          </w:p>
        </w:tc>
        <w:tc>
          <w:tcPr>
            <w:tcW w:type="dxa" w:w="4320"/>
          </w:tcPr>
          <w:p>
            <w:r>
              <w:t>Önemli Alanlar (örnek)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id, username, email, password_hash(Argon2+pepper), role, org_id, is_active, two_factor_enabled, created_at</w:t>
            </w:r>
          </w:p>
        </w:tc>
      </w:tr>
      <w:tr>
        <w:tc>
          <w:tcPr>
            <w:tcW w:type="dxa" w:w="4320"/>
          </w:tcPr>
          <w:p>
            <w:r>
              <w:t>modules</w:t>
            </w:r>
          </w:p>
        </w:tc>
        <w:tc>
          <w:tcPr>
            <w:tcW w:type="dxa" w:w="4320"/>
          </w:tcPr>
          <w:p>
            <w:r>
              <w:t>id, code, display_name_tr, display_name_en, default_enabled</w:t>
            </w:r>
          </w:p>
        </w:tc>
      </w:tr>
      <w:tr>
        <w:tc>
          <w:tcPr>
            <w:tcW w:type="dxa" w:w="4320"/>
          </w:tcPr>
          <w:p>
            <w:r>
              <w:t>organization_modules</w:t>
            </w:r>
          </w:p>
        </w:tc>
        <w:tc>
          <w:tcPr>
            <w:tcW w:type="dxa" w:w="4320"/>
          </w:tcPr>
          <w:p>
            <w:r>
              <w:t>org_id, module_id, enabled, changed_by_user_id, changed_at</w:t>
            </w:r>
          </w:p>
        </w:tc>
      </w:tr>
      <w:tr>
        <w:tc>
          <w:tcPr>
            <w:tcW w:type="dxa" w:w="4320"/>
          </w:tcPr>
          <w:p>
            <w:r>
              <w:t>licenses</w:t>
            </w:r>
          </w:p>
        </w:tc>
        <w:tc>
          <w:tcPr>
            <w:tcW w:type="dxa" w:w="4320"/>
          </w:tcPr>
          <w:p>
            <w:r>
              <w:t>id, license_key, org_id, issued_at, expires_at, duration(7d/30d/3m/6m/1y), status, allowed_modules(json), max_activations, activations_count, signature</w:t>
            </w:r>
          </w:p>
        </w:tc>
      </w:tr>
      <w:tr>
        <w:tc>
          <w:tcPr>
            <w:tcW w:type="dxa" w:w="4320"/>
          </w:tcPr>
          <w:p>
            <w:r>
              <w:t>activations</w:t>
            </w:r>
          </w:p>
        </w:tc>
        <w:tc>
          <w:tcPr>
            <w:tcW w:type="dxa" w:w="4320"/>
          </w:tcPr>
          <w:p>
            <w:r>
              <w:t>id, license_id, machine_fingerprint(hash), activated_at, last_check_at, revoked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id, user_id, action, details(json), created_at</w:t>
            </w:r>
          </w:p>
        </w:tc>
      </w:tr>
    </w:tbl>
    <w:p>
      <w:pPr>
        <w:pStyle w:val="Heading1"/>
      </w:pPr>
      <w:r>
        <w:t>3) Parola Saklama ve Gizli Anahtarlar</w:t>
      </w:r>
    </w:p>
    <w:p>
      <w:pPr>
        <w:pStyle w:val="ListBullet"/>
      </w:pPr>
      <w:r>
        <w:t>Parolalar: Argon2id (veya güçlü bcrypt) ile hashlenmeli; server-side PEPPER çevresel değişkende tutulmalı.</w:t>
      </w:r>
    </w:p>
    <w:p>
      <w:pPr>
        <w:pStyle w:val="ListBullet"/>
      </w:pPr>
      <w:r>
        <w:t>Super_admin parolası da diğerleri gibi hashlenir; asla düz metin saklanmaz. 2FA zorunlu önerilir.</w:t>
      </w:r>
    </w:p>
    <w:p>
      <w:pPr>
        <w:pStyle w:val="ListBullet"/>
      </w:pPr>
      <w:r>
        <w:t>Lisans imzası için PRIVATE_KEY (RSA/ECDSA) KMS/HSM veya ortam değişkenlerinde saklanmalı; repo’ya konmamalı.</w:t>
      </w:r>
    </w:p>
    <w:p>
      <w:pPr>
        <w:pStyle w:val="ListBullet"/>
      </w:pPr>
      <w:r>
        <w:t>Hash parametre sürümü için users.salt_version alanı tutulabilir (migrate sırasında yeniden hash).</w:t>
      </w:r>
    </w:p>
    <w:p>
      <w:pPr>
        <w:pStyle w:val="Heading1"/>
      </w:pPr>
      <w:r>
        <w:t>4) Giriş (Login) Akışı</w:t>
      </w:r>
    </w:p>
    <w:p>
      <w:pPr>
        <w:pStyle w:val="ListBullet"/>
      </w:pPr>
      <w:r>
        <w:t>Kullanıcı adı/e-posta + parola → doğrulama: verify_argon2(password + pepper, stored_hash).</w:t>
      </w:r>
    </w:p>
    <w:p>
      <w:pPr>
        <w:pStyle w:val="ListBullet"/>
      </w:pPr>
      <w:r>
        <w:t>2FA etkinse TOTP doğrulaması ikinci adım.</w:t>
      </w:r>
    </w:p>
    <w:p>
      <w:pPr>
        <w:pStyle w:val="ListBullet"/>
      </w:pPr>
      <w:r>
        <w:t>Başarıda: access_token (kısa ömür), refresh_token (HTTP-Only, Secure).</w:t>
      </w:r>
    </w:p>
    <w:p>
      <w:pPr>
        <w:pStyle w:val="ListBullet"/>
      </w:pPr>
      <w:r>
        <w:t>Rate-limit ve brute-force koruması; başarısız denemede geçici kilit.</w:t>
      </w:r>
    </w:p>
    <w:p>
      <w:pPr>
        <w:pStyle w:val="Heading1"/>
      </w:pPr>
      <w:r>
        <w:t>5) Modüllerin Açılıp/Kapatılması (Super Admin)</w:t>
      </w:r>
    </w:p>
    <w:p>
      <w:pPr>
        <w:pStyle w:val="ListBullet"/>
      </w:pPr>
      <w:r>
        <w:t>organization_modules tablosunda org-modül bazında enabled bayrağı tutulur.</w:t>
      </w:r>
    </w:p>
    <w:p>
      <w:pPr>
        <w:pStyle w:val="ListBullet"/>
      </w:pPr>
      <w:r>
        <w:t>API: POST /api/orgs/{org_id}/modules/{module_id}/toggle (Auth: super_admin veya yetkili admin).</w:t>
      </w:r>
    </w:p>
    <w:p>
      <w:pPr>
        <w:pStyle w:val="ListBullet"/>
      </w:pPr>
      <w:r>
        <w:t>Her değişim audit_logs’a yazılır. Lisans gerektiren modüllerde önce lisans kontrol edilir.</w:t>
      </w:r>
    </w:p>
    <w:p>
      <w:pPr>
        <w:pStyle w:val="Heading1"/>
      </w:pPr>
      <w:r>
        <w:t>6) Lisanslama — Süreler, Üretim ve Aktivasyon</w:t>
      </w:r>
    </w:p>
    <w:p>
      <w:r>
        <w:t>Önerilen yöntem: İmzalı Lisans Anahtarı (RSA/ECDSA). Payload base64 + imza base64 olarak birleştirilir.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Süre</w:t>
            </w:r>
          </w:p>
        </w:tc>
        <w:tc>
          <w:tcPr>
            <w:tcW w:type="dxa" w:w="4320"/>
          </w:tcPr>
          <w:p>
            <w:r>
              <w:t>Hesaplama</w:t>
            </w:r>
          </w:p>
        </w:tc>
      </w:tr>
      <w:tr>
        <w:tc>
          <w:tcPr>
            <w:tcW w:type="dxa" w:w="4320"/>
          </w:tcPr>
          <w:p>
            <w:r>
              <w:t>7 gün</w:t>
            </w:r>
          </w:p>
        </w:tc>
        <w:tc>
          <w:tcPr>
            <w:tcW w:type="dxa" w:w="4320"/>
          </w:tcPr>
          <w:p>
            <w:r>
              <w:t>expires_at = issued_at + 7 gün</w:t>
            </w:r>
          </w:p>
        </w:tc>
      </w:tr>
      <w:tr>
        <w:tc>
          <w:tcPr>
            <w:tcW w:type="dxa" w:w="4320"/>
          </w:tcPr>
          <w:p>
            <w:r>
              <w:t>30 gün</w:t>
            </w:r>
          </w:p>
        </w:tc>
        <w:tc>
          <w:tcPr>
            <w:tcW w:type="dxa" w:w="4320"/>
          </w:tcPr>
          <w:p>
            <w:r>
              <w:t>expires_at = issued_at + 30 gün</w:t>
            </w:r>
          </w:p>
        </w:tc>
      </w:tr>
      <w:tr>
        <w:tc>
          <w:tcPr>
            <w:tcW w:type="dxa" w:w="4320"/>
          </w:tcPr>
          <w:p>
            <w:r>
              <w:t>3 ay</w:t>
            </w:r>
          </w:p>
        </w:tc>
        <w:tc>
          <w:tcPr>
            <w:tcW w:type="dxa" w:w="4320"/>
          </w:tcPr>
          <w:p>
            <w:r>
              <w:t>≈ 90 gün (takvime göre)</w:t>
            </w:r>
          </w:p>
        </w:tc>
      </w:tr>
      <w:tr>
        <w:tc>
          <w:tcPr>
            <w:tcW w:type="dxa" w:w="4320"/>
          </w:tcPr>
          <w:p>
            <w:r>
              <w:t>6 ay</w:t>
            </w:r>
          </w:p>
        </w:tc>
        <w:tc>
          <w:tcPr>
            <w:tcW w:type="dxa" w:w="4320"/>
          </w:tcPr>
          <w:p>
            <w:r>
              <w:t>≈ 180 gün (takvime göre)</w:t>
            </w:r>
          </w:p>
        </w:tc>
      </w:tr>
      <w:tr>
        <w:tc>
          <w:tcPr>
            <w:tcW w:type="dxa" w:w="4320"/>
          </w:tcPr>
          <w:p>
            <w:r>
              <w:t>1 yıl</w:t>
            </w:r>
          </w:p>
        </w:tc>
        <w:tc>
          <w:tcPr>
            <w:tcW w:type="dxa" w:w="4320"/>
          </w:tcPr>
          <w:p>
            <w:r>
              <w:t>≈ 365 gün (takvime göre)</w:t>
            </w:r>
          </w:p>
        </w:tc>
      </w:tr>
    </w:tbl>
    <w:p>
      <w:pPr>
        <w:pStyle w:val="ListBullet"/>
      </w:pPr>
      <w:r>
        <w:t>Lisans oluşturma: payload (license_id, org_id, issued_at, expires_at, allowed_modules, max_activations) → Sign(PRIVATE_KEY).</w:t>
      </w:r>
    </w:p>
    <w:p>
      <w:pPr>
        <w:pStyle w:val="ListBullet"/>
      </w:pPr>
      <w:r>
        <w:t>Aktivasyon: Kullanıcı license_key girer → imza &amp; süre doğrulanır → server’a kayıt (machine_fingerprint ile).</w:t>
      </w:r>
    </w:p>
    <w:p>
      <w:pPr>
        <w:pStyle w:val="ListBullet"/>
      </w:pPr>
      <w:r>
        <w:t>Maks aktivasyon sayısı kontrol edilir; activation_token döndürülür ve istemcide şifreli saklanır (AES-GCM).</w:t>
      </w:r>
    </w:p>
    <w:p>
      <w:pPr>
        <w:pStyle w:val="ListBullet"/>
      </w:pPr>
      <w:r>
        <w:t>Periyodik check-in (örn. 7 günde bir) ve grace period; revoke listesi kontrolü.</w:t>
      </w:r>
    </w:p>
    <w:p>
      <w:pPr>
        <w:pStyle w:val="Heading1"/>
      </w:pPr>
      <w:r>
        <w:t>7) Makine Parmak İzi (Fingerprint)</w:t>
      </w:r>
    </w:p>
    <w:p>
      <w:pPr>
        <w:pStyle w:val="ListBullet"/>
      </w:pPr>
      <w:r>
        <w:t>Öneri: HWID = SHA256( CPU_SERIAL + HDD_SERIAL + ilk MAC + OS_INSTALL_ID ).</w:t>
      </w:r>
    </w:p>
    <w:p>
      <w:pPr>
        <w:pStyle w:val="ListBullet"/>
      </w:pPr>
      <w:r>
        <w:t>Sunucuda fingerprint hashlenmiş biçimde tutulur (HWID + server_pepper).</w:t>
      </w:r>
    </w:p>
    <w:p>
      <w:pPr>
        <w:pStyle w:val="Heading1"/>
      </w:pPr>
      <w:r>
        <w:t>8) Uygulama Adımları (Sıralı Plan)</w:t>
      </w:r>
    </w:p>
    <w:p>
      <w:pPr>
        <w:pStyle w:val="ListNumber"/>
      </w:pPr>
      <w:r>
        <w:t>DB migration: users, organizations, modules, organization_modules, licenses, activations, audit_logs, revocation_list.</w:t>
      </w:r>
    </w:p>
    <w:p>
      <w:pPr>
        <w:pStyle w:val="ListNumber"/>
      </w:pPr>
      <w:r>
        <w:t>Güvenlik temeli: Argon2 + PEPPER, JWT secret, PRIVATE/PUBLIC KEY (KMS/HSM).</w:t>
      </w:r>
    </w:p>
    <w:p>
      <w:pPr>
        <w:pStyle w:val="ListNumber"/>
      </w:pPr>
      <w:r>
        <w:t>Auth uçları: /auth/login, /auth/refresh, /auth/logout, /auth/2fa/verify.</w:t>
      </w:r>
    </w:p>
    <w:p>
      <w:pPr>
        <w:pStyle w:val="ListNumber"/>
      </w:pPr>
      <w:r>
        <w:t>Kullanıcı yönetimi uçları: /users (GET/POST/PUT).</w:t>
      </w:r>
    </w:p>
    <w:p>
      <w:pPr>
        <w:pStyle w:val="ListNumber"/>
      </w:pPr>
      <w:r>
        <w:t>Modül yönetimi: /modules (GET), toggle (POST).</w:t>
      </w:r>
    </w:p>
    <w:p>
      <w:pPr>
        <w:pStyle w:val="ListNumber"/>
      </w:pPr>
      <w:r>
        <w:t>Lisans servisi: /licenses/create, /licenses/activate, /licenses/check, /licenses/revoke.</w:t>
      </w:r>
    </w:p>
    <w:p>
      <w:pPr>
        <w:pStyle w:val="ListNumber"/>
      </w:pPr>
      <w:r>
        <w:t>İstemci tarafı: activation_token’ı AES-GCM ile şifreli depolama; modül görünürlüğünü lisansla sınırla.</w:t>
      </w:r>
    </w:p>
    <w:p>
      <w:pPr>
        <w:pStyle w:val="ListNumber"/>
      </w:pPr>
      <w:r>
        <w:t>Periyodik işler: expiry uyarıları, aktivasyon temizliği.</w:t>
      </w:r>
    </w:p>
    <w:p>
      <w:pPr>
        <w:pStyle w:val="ListNumber"/>
      </w:pPr>
      <w:r>
        <w:t>Audit &amp; İzleme: kritik işlemleri logla; uyarı mekanizması kur.</w:t>
      </w:r>
    </w:p>
    <w:p>
      <w:pPr>
        <w:pStyle w:val="ListNumber"/>
      </w:pPr>
      <w:r>
        <w:t>Testler: hash/verify, license verify, activation limit, org-module toggle.</w:t>
      </w:r>
    </w:p>
    <w:p>
      <w:pPr>
        <w:pStyle w:val="Heading1"/>
      </w:pPr>
      <w:r>
        <w:t>9) Canlıya Alma Kontrol Listesi</w:t>
      </w:r>
    </w:p>
    <w:p>
      <w:r>
        <w:t>□ KMS/HSM entegrasyonu ve PRIVATE_KEY yönetimi tamam.</w:t>
      </w:r>
    </w:p>
    <w:p>
      <w:r>
        <w:t>□ Argon2 + server PEPPER aktif.</w:t>
      </w:r>
    </w:p>
    <w:p>
      <w:r>
        <w:t>□ JWT access/refresh token akışı test edildi.</w:t>
      </w:r>
    </w:p>
    <w:p>
      <w:r>
        <w:t>□ Lisans oluşturma/doğrulama/aktivasyon/iptal akışları test edildi.</w:t>
      </w:r>
    </w:p>
    <w:p>
      <w:r>
        <w:t>□ Modül toggle org düzeyinde çalışıyor ve audit log’lanıyor.</w:t>
      </w:r>
    </w:p>
    <w:p>
      <w:r>
        <w:t>□ SIEM/izleme ve başarısız giriş uyarıları kuruldu.</w:t>
      </w:r>
    </w:p>
    <w:p>
      <w:r>
        <w:t>□ Şifreli yedekleme ve log saklama politikası tanımlı.</w:t>
      </w:r>
    </w:p>
    <w:p>
      <w:pPr>
        <w:pStyle w:val="Heading1"/>
      </w:pPr>
      <w:r>
        <w:t>Ek Notlar (Güvenlik)</w:t>
      </w:r>
    </w:p>
    <w:p>
      <w:pPr>
        <w:pStyle w:val="ListBullet"/>
      </w:pPr>
      <w:r>
        <w:t>HTTPS + HSTS zorunlu; tüm hassas uçlarda rate-limit ve IP bazlı throttle.</w:t>
      </w:r>
    </w:p>
    <w:p>
      <w:pPr>
        <w:pStyle w:val="ListBullet"/>
      </w:pPr>
      <w:r>
        <w:t>Super_admin için 2FA zorunlu, IP allowlist ve donanım anahtarı (yubi) desteği önerilir.</w:t>
      </w:r>
    </w:p>
    <w:p>
      <w:pPr>
        <w:pStyle w:val="ListBullet"/>
      </w:pPr>
      <w:r>
        <w:t>Emergency erişim sadece kayıtlı/review’lu recovery süreciyle; kullanımdan sonra anahtar rotasyonu.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