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ST Online 2.0</w:t>
      </w:r>
    </w:p>
    <w:p>
      <w:pPr>
        <w:pStyle w:val="BodyText"/>
      </w:pPr>
      <w:r>
        <w:rPr>
          <w:bCs/>
          <w:b/>
        </w:rPr>
        <w:t xml:space="preserve">Stage 1 Build Specification</w:t>
      </w:r>
    </w:p>
    <w:p>
      <w:pPr>
        <w:pStyle w:val="BodyText"/>
      </w:pPr>
      <w:r>
        <w:t xml:space="preserve">Core Operational Loop — extract of Master Knowledge Base Rev 13</w:t>
      </w:r>
    </w:p>
    <w:p>
      <w:pPr>
        <w:pStyle w:val="BodyText"/>
      </w:pPr>
      <w:r>
        <w:t xml:space="preserve">Extract E1 Rev 2 | System Technique | August 2026 | Confidential</w:t>
      </w:r>
    </w:p>
    <w:p>
      <w:pPr>
        <w:pStyle w:val="BodyText"/>
      </w:pPr>
      <w:r>
        <w:rPr>
          <w:bCs/>
          <w:b/>
        </w:rPr>
        <w:t xml:space="preserve">Provenance &amp; authority:</w:t>
      </w:r>
      <w:r>
        <w:t xml:space="preserve"> </w:t>
      </w:r>
      <w:r>
        <w:t xml:space="preserve">This document is a verbatim extract of the OM-held master (ST Online 2.0 Master Knowledge Base Rev 13), issued per the staged information-release policy. Content is unchanged from the master; only sections outside this stage’s scope are omitted. Where a section referenced here is not included, it is intentionally held for a later stage and will be issued when that stage opens. The master remains the single source of truth; if this extract and the master ever disagree, flag it — do not resolve by assumption. Read together with: Data Model &amp; Schema Specification Rev 4, Parameter Specification Rev 2, Corrective Action Procedures Rev 3, and CLAUDE.md Rev 4.</w:t>
      </w:r>
    </w:p>
    <w:p>
      <w:pPr>
        <w:pStyle w:val="BodyText"/>
      </w:pPr>
      <w:r>
        <w:rPr>
          <w:bCs/>
          <w:b/>
        </w:rPr>
        <w:t xml:space="preserve">Stage 1 scope:</w:t>
      </w:r>
      <w:r>
        <w:t xml:space="preserve"> </w:t>
      </w:r>
      <w:r>
        <w:t xml:space="preserve">clients &amp; sites, SOW (including the Rev 13 branch-level financial approval chain), scheduling, visit form &amp; parameter monitoring, readings, reports &amp; dispatch, standard letters, water-system templates/config, roles &amp; access, design principles. Stage 2 modules (MOM, campaigns/audits, microbiology, training) and all v2.1 scope are issued separately when their stage opens.</w:t>
      </w:r>
    </w:p>
    <w:bookmarkStart w:id="22" w:name="company-business-context"/>
    <w:p>
      <w:pPr>
        <w:pStyle w:val="Heading1"/>
      </w:pPr>
      <w:r>
        <w:t xml:space="preserve">1. Company &amp; Business Context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Company</w:t>
            </w:r>
          </w:p>
        </w:tc>
        <w:tc>
          <w:tcPr/>
          <w:p>
            <w:pPr>
              <w:pStyle w:val="Compact"/>
              <w:jc w:val="left"/>
            </w:pPr>
            <w:r>
              <w:t xml:space="preserve">System Technique (ST) — water treatment &amp; safety: inspection, testing, certification</w:t>
            </w:r>
          </w:p>
        </w:tc>
      </w:tr>
      <w:tr>
        <w:tc>
          <w:tcPr/>
          <w:p>
            <w:pPr>
              <w:pStyle w:val="Compact"/>
              <w:jc w:val="left"/>
            </w:pPr>
            <w:r>
              <w:rPr>
                <w:bCs/>
                <w:b/>
              </w:rPr>
              <w:t xml:space="preserve">Market</w:t>
            </w:r>
          </w:p>
        </w:tc>
        <w:tc>
          <w:tcPr/>
          <w:p>
            <w:pPr>
              <w:pStyle w:val="Compact"/>
              <w:jc w:val="left"/>
            </w:pPr>
            <w:r>
              <w:t xml:space="preserve">Egyptian hospitality and institutional clients</w:t>
            </w:r>
          </w:p>
        </w:tc>
      </w:tr>
      <w:tr>
        <w:tc>
          <w:tcPr/>
          <w:p>
            <w:pPr>
              <w:pStyle w:val="Compact"/>
              <w:jc w:val="left"/>
            </w:pPr>
            <w:r>
              <w:rPr>
                <w:bCs/>
                <w:b/>
              </w:rPr>
              <w:t xml:space="preserve">Property types (v2.0)</w:t>
            </w:r>
          </w:p>
        </w:tc>
        <w:tc>
          <w:tcPr/>
          <w:p>
            <w:pPr>
              <w:pStyle w:val="Compact"/>
              <w:jc w:val="left"/>
            </w:pPr>
            <w:r>
              <w:t xml:space="preserve">Hotel · Cruise Ship · School · Hospital · Sporting Club · Residential Compound. OM-extensible configuration list.</w:t>
            </w:r>
          </w:p>
        </w:tc>
      </w:tr>
      <w:tr>
        <w:tc>
          <w:tcPr/>
          <w:p>
            <w:pPr>
              <w:pStyle w:val="Compact"/>
              <w:jc w:val="left"/>
            </w:pPr>
            <w:r>
              <w:rPr>
                <w:bCs/>
                <w:b/>
              </w:rPr>
              <w:t xml:space="preserve">Property types (v2.1)</w:t>
            </w:r>
          </w:p>
        </w:tc>
        <w:tc>
          <w:tcPr/>
          <w:p>
            <w:pPr>
              <w:pStyle w:val="Compact"/>
              <w:jc w:val="left"/>
            </w:pPr>
            <w:r>
              <w:t xml:space="preserve">Heavy Industry (with sub-categories: fertilizer, refinery, etc.) · Industry · Municipal Waste Plant · O&amp;G · Contractor. Parent-type → sub-category architecture is built into the data model from day one; industrial clients arrive in 2.1 as configuration work (new system types, parameter sets, product catalogue entries), not a software release.</w:t>
            </w:r>
          </w:p>
        </w:tc>
      </w:tr>
      <w:tr>
        <w:tc>
          <w:tcPr/>
          <w:p>
            <w:pPr>
              <w:pStyle w:val="Compact"/>
              <w:jc w:val="left"/>
            </w:pPr>
            <w:r>
              <w:rPr>
                <w:bCs/>
                <w:b/>
              </w:rPr>
              <w:t xml:space="preserve">Branches</w:t>
            </w:r>
          </w:p>
        </w:tc>
        <w:tc>
          <w:tcPr/>
          <w:p>
            <w:pPr>
              <w:pStyle w:val="Compact"/>
              <w:jc w:val="left"/>
            </w:pPr>
            <w:r>
              <w:t xml:space="preserve">OM-managed configuration, NOT a fixed list. Current branches: Hurghada · Sharm El Sheikh · Cairo · Alexandria · North Coast · Marsa Alam · Upper Egypt (Luxor/Aswan). Cairo, Alexandria and North Coast are separate branches (Rev 7 combined them — corrected per July session). Anticipated future splits: East Cairo / West Cairo, Sokhna, and others.</w:t>
            </w:r>
          </w:p>
        </w:tc>
      </w:tr>
      <w:tr>
        <w:tc>
          <w:tcPr/>
          <w:p>
            <w:pPr>
              <w:pStyle w:val="Compact"/>
              <w:jc w:val="left"/>
            </w:pPr>
            <w:r>
              <w:rPr>
                <w:bCs/>
                <w:b/>
              </w:rPr>
              <w:t xml:space="preserve">Branch + Area model</w:t>
            </w:r>
          </w:p>
        </w:tc>
        <w:tc>
          <w:tcPr/>
          <w:p>
            <w:pPr>
              <w:pStyle w:val="Compact"/>
              <w:jc w:val="left"/>
            </w:pPr>
            <w:r>
              <w:t xml:space="preserve">Branch = the management unit (own SL, own baseline, own reports). An optional</w:t>
            </w:r>
            <w:r>
              <w:t xml:space="preserve"> </w:t>
            </w:r>
            <w:r>
              <w:rPr>
                <w:bCs/>
                <w:b/>
              </w:rPr>
              <w:t xml:space="preserve">Area</w:t>
            </w:r>
            <w:r>
              <w:t xml:space="preserve"> </w:t>
            </w:r>
            <w:r>
              <w:t xml:space="preserve">level sits beneath a branch (routing + analysis label, one SL, one baseline). Areas can be promoted to full branches later using the same reassignment mechanism.</w:t>
            </w:r>
          </w:p>
        </w:tc>
      </w:tr>
      <w:tr>
        <w:tc>
          <w:tcPr/>
          <w:p>
            <w:pPr>
              <w:pStyle w:val="Compact"/>
              <w:jc w:val="left"/>
            </w:pPr>
            <w:r>
              <w:rPr>
                <w:bCs/>
                <w:b/>
              </w:rPr>
              <w:t xml:space="preserve">Effective-dated branch assignment</w:t>
            </w:r>
          </w:p>
        </w:tc>
        <w:tc>
          <w:tcPr/>
          <w:p>
            <w:pPr>
              <w:pStyle w:val="Compact"/>
              <w:jc w:val="left"/>
            </w:pPr>
            <w:r>
              <w:t xml:space="preserve">Every client carries an effective-dated branch (and area) assignment history. When a branch splits, clients are reassigned; all metrics (V/V baselines, coverage %, commercial dashboards) compute past months against the assignment valid AT THAT TIME. History is never restated.</w:t>
            </w:r>
          </w:p>
        </w:tc>
      </w:tr>
    </w:tbl>
    <w:bookmarkStart w:id="20" w:name="services-the-7-pillars"/>
    <w:p>
      <w:pPr>
        <w:pStyle w:val="Heading2"/>
      </w:pPr>
      <w:r>
        <w:t xml:space="preserve">1.1 Services — The 7 Pillars</w:t>
      </w:r>
    </w:p>
    <w:p>
      <w:pPr>
        <w:pStyle w:val="FirstParagraph"/>
      </w:pPr>
      <w:r>
        <w:t xml:space="preserve">ST Online 2.0 modules should be understood as delivering these seven service pillars. The client-facing report is structured around them, with a skeleton ready to receive the v2.1 Compliance Pack (see Section 18).</w:t>
      </w:r>
    </w:p>
    <w:p>
      <w:pPr>
        <w:numPr>
          <w:ilvl w:val="0"/>
          <w:numId w:val="1001"/>
        </w:numPr>
      </w:pPr>
      <w:r>
        <w:t xml:space="preserve">Regular Technical Visits</w:t>
      </w:r>
    </w:p>
    <w:p>
      <w:pPr>
        <w:numPr>
          <w:ilvl w:val="0"/>
          <w:numId w:val="1001"/>
        </w:numPr>
      </w:pPr>
      <w:r>
        <w:t xml:space="preserve">Water Analysis &amp; Performance Monitoring</w:t>
      </w:r>
    </w:p>
    <w:p>
      <w:pPr>
        <w:numPr>
          <w:ilvl w:val="0"/>
          <w:numId w:val="1001"/>
        </w:numPr>
      </w:pPr>
      <w:r>
        <w:t xml:space="preserve">Operational Audits &amp; System Reviews (the Service Campaign module)</w:t>
      </w:r>
    </w:p>
    <w:p>
      <w:pPr>
        <w:numPr>
          <w:ilvl w:val="0"/>
          <w:numId w:val="1001"/>
        </w:numPr>
      </w:pPr>
      <w:r>
        <w:t xml:space="preserve">Corrective Actions &amp; Follow-Up</w:t>
      </w:r>
    </w:p>
    <w:p>
      <w:pPr>
        <w:numPr>
          <w:ilvl w:val="0"/>
          <w:numId w:val="1001"/>
        </w:numPr>
      </w:pPr>
      <w:r>
        <w:t xml:space="preserve">Water Safety Reporting &amp; Documentation</w:t>
      </w:r>
    </w:p>
    <w:p>
      <w:pPr>
        <w:numPr>
          <w:ilvl w:val="0"/>
          <w:numId w:val="1001"/>
        </w:numPr>
      </w:pPr>
      <w:r>
        <w:t xml:space="preserve">Emergency Technical Support</w:t>
      </w:r>
    </w:p>
    <w:p>
      <w:pPr>
        <w:numPr>
          <w:ilvl w:val="0"/>
          <w:numId w:val="1001"/>
        </w:numPr>
      </w:pPr>
      <w:r>
        <w:t xml:space="preserve">Training &amp; Knowledge Transfer</w:t>
      </w:r>
    </w:p>
    <w:p>
      <w:pPr>
        <w:pStyle w:val="FirstParagraph"/>
      </w:pPr>
      <w:r>
        <w:t xml:space="preserve">The</w:t>
      </w:r>
      <w:r>
        <w:t xml:space="preserve"> </w:t>
      </w:r>
      <w:r>
        <w:rPr>
          <w:bCs/>
          <w:b/>
        </w:rPr>
        <w:t xml:space="preserve">Water Safety &amp;</w:t>
      </w:r>
      <w:r>
        <w:t xml:space="preserve">** Performance Program** (Hospitality Operating Manual §5.3) is the client-facing name for this pillar set — positioned as a shared operating discipline, not chemical supply. Green/Amber/Red reporting logic is the standard presentation.</w:t>
      </w:r>
    </w:p>
    <w:bookmarkEnd w:id="20"/>
    <w:bookmarkStart w:id="21" w:name="user-roles-management-chain"/>
    <w:p>
      <w:pPr>
        <w:pStyle w:val="Heading2"/>
      </w:pPr>
      <w:r>
        <w:t xml:space="preserve">1.2 User Roles &amp; Management Chain</w:t>
      </w:r>
    </w:p>
    <w:p>
      <w:pPr>
        <w:pStyle w:val="FirstParagraph"/>
      </w:pPr>
      <w:r>
        <w:rPr>
          <w:bCs/>
          <w:b/>
        </w:rPr>
        <w:t xml:space="preserve">Management chain: SE → SL → OM (Gouda Ahmed) → Head of Hospitality Department (AN — Ahmed Naggar) → Managing Director (Kamal).</w:t>
      </w:r>
      <w:r>
        <w:t xml:space="preserve"> </w:t>
      </w:r>
      <w:r>
        <w:t xml:space="preserve">Each layer filters: SL reports create field intelligence; the OM identifies operational patterns; AN gives the MD a concise business-steering view. The MD normally reviews only AN’s Monthly Business Review; underlying reports remain available for audit.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SE</w:t>
            </w:r>
          </w:p>
        </w:tc>
        <w:tc>
          <w:tcPr/>
          <w:p>
            <w:pPr>
              <w:pStyle w:val="Compact"/>
              <w:jc w:val="left"/>
            </w:pPr>
            <w:r>
              <w:t xml:space="preserve">Service Engineer — conducts visits, enters data, manages client relationships, identifies NC/project opportunities on every visit, participates in assigned ANC/PC sales visits.</w:t>
            </w:r>
          </w:p>
        </w:tc>
      </w:tr>
      <w:tr>
        <w:tc>
          <w:tcPr/>
          <w:p>
            <w:pPr>
              <w:pStyle w:val="Compact"/>
              <w:jc w:val="left"/>
            </w:pPr>
            <w:r>
              <w:rPr>
                <w:bCs/>
                <w:b/>
              </w:rPr>
              <w:t xml:space="preserve">SL</w:t>
            </w:r>
          </w:p>
        </w:tc>
        <w:tc>
          <w:tcPr/>
          <w:p>
            <w:pPr>
              <w:pStyle w:val="Compact"/>
              <w:jc w:val="left"/>
            </w:pPr>
            <w:r>
              <w:t xml:space="preserve">Service Leader — SE’s manager per branch. Approves service schedules &amp; reports, runs internal MOMs, sets ANC/PC visit frequencies and SE assignments, coaches commercial discipline, owns branch service performance.</w:t>
            </w:r>
          </w:p>
        </w:tc>
      </w:tr>
      <w:tr>
        <w:tc>
          <w:tcPr/>
          <w:p>
            <w:pPr>
              <w:pStyle w:val="Compact"/>
              <w:jc w:val="left"/>
            </w:pPr>
            <w:r>
              <w:rPr>
                <w:bCs/>
                <w:b/>
              </w:rPr>
              <w:t xml:space="preserve">OM</w:t>
            </w:r>
          </w:p>
        </w:tc>
        <w:tc>
          <w:tcPr/>
          <w:p>
            <w:pPr>
              <w:pStyle w:val="Compact"/>
              <w:jc w:val="left"/>
            </w:pPr>
            <w:r>
              <w:t xml:space="preserve">Operations Manager (Gouda Ahmed) — cross-branch operational control, overall system governance, owns configuration. Ensures C clients are serviced properly AND commercially developed. Separates technical red flags from customer-service issues.</w:t>
            </w:r>
            <w:r>
              <w:t xml:space="preserve"> </w:t>
            </w:r>
            <w:r>
              <w:rPr>
                <w:bCs/>
                <w:b/>
              </w:rPr>
              <w:t xml:space="preserve">Role boundary: the OM is NOT the owner of the general ANC/PC sales pipeline</w:t>
            </w:r>
            <w:r>
              <w:t xml:space="preserve"> </w:t>
            </w:r>
            <w:r>
              <w:t xml:space="preserve">— his commercial responsibility is full development of the Consumable Client base and removing operational blockers to growth.</w:t>
            </w:r>
          </w:p>
        </w:tc>
      </w:tr>
      <w:tr>
        <w:tc>
          <w:tcPr/>
          <w:p>
            <w:pPr>
              <w:pStyle w:val="Compact"/>
              <w:jc w:val="left"/>
            </w:pPr>
            <w:r>
              <w:rPr>
                <w:bCs/>
                <w:b/>
              </w:rPr>
              <w:t xml:space="preserve">Head of Hospitality Department (AN)</w:t>
            </w:r>
          </w:p>
        </w:tc>
        <w:tc>
          <w:tcPr/>
          <w:p>
            <w:pPr>
              <w:pStyle w:val="Compact"/>
              <w:jc w:val="left"/>
            </w:pPr>
            <w:r>
              <w:t xml:space="preserve">Ahmed Naggar — owns Hospitality commercial performance by branch (revenue mix, targets, collections follow-up), market visibility and classification accuracy (TOH / Excluded / C / ANC / PC), planned ANC/PC sales coverage (approves the SL-built coverage schedule), the Growth Engine, engineer V/V and Above-50K coaching, the strategic projects pipeline, owning-company/operator relationships, and Greenfield monitoring. Also carries the Commercial Playbook</w:t>
            </w:r>
            <w:r>
              <w:t xml:space="preserve"> </w:t>
            </w:r>
            <w:r>
              <w:t xml:space="preserve">“</w:t>
            </w:r>
            <w:r>
              <w:t xml:space="preserve">Hospitality Sales Manager</w:t>
            </w:r>
            <w:r>
              <w:t xml:space="preserve">”</w:t>
            </w:r>
            <w:r>
              <w:t xml:space="preserve"> </w:t>
            </w:r>
            <w:r>
              <w:t xml:space="preserve">duties (same role, one title — Head of Hospitality Department): commercial standards &amp; templates, cross-branch review, stuck-deal classification leadership, purchasing alignment. Consolidates OM-layer risks into the MBR and ends it with decisions required from the MD.</w:t>
            </w:r>
          </w:p>
        </w:tc>
      </w:tr>
      <w:tr>
        <w:tc>
          <w:tcPr/>
          <w:p>
            <w:pPr>
              <w:pStyle w:val="Compact"/>
              <w:jc w:val="left"/>
            </w:pPr>
            <w:r>
              <w:rPr>
                <w:bCs/>
                <w:b/>
              </w:rPr>
              <w:t xml:space="preserve">Sales</w:t>
            </w:r>
          </w:p>
        </w:tc>
        <w:tc>
          <w:tcPr/>
          <w:p>
            <w:pPr>
              <w:pStyle w:val="Compact"/>
              <w:jc w:val="left"/>
            </w:pPr>
            <w:r>
              <w:t xml:space="preserve">Sales engineers (some branches have dedicated sales staff).</w:t>
            </w:r>
          </w:p>
        </w:tc>
      </w:tr>
      <w:tr>
        <w:tc>
          <w:tcPr/>
          <w:p>
            <w:pPr>
              <w:pStyle w:val="Compact"/>
              <w:jc w:val="left"/>
            </w:pPr>
            <w:r>
              <w:rPr>
                <w:bCs/>
                <w:b/>
              </w:rPr>
              <w:t xml:space="preserve">Lab Technician</w:t>
            </w:r>
          </w:p>
        </w:tc>
        <w:tc>
          <w:tcPr/>
          <w:p>
            <w:pPr>
              <w:pStyle w:val="Compact"/>
              <w:jc w:val="left"/>
            </w:pPr>
            <w:r>
              <w:t xml:space="preserve">Manages offsite microbiological analysis.</w:t>
            </w:r>
          </w:p>
        </w:tc>
      </w:tr>
      <w:tr>
        <w:tc>
          <w:tcPr/>
          <w:p>
            <w:pPr>
              <w:pStyle w:val="Compact"/>
              <w:jc w:val="left"/>
            </w:pPr>
            <w:r>
              <w:rPr>
                <w:bCs/>
                <w:b/>
              </w:rPr>
              <w:t xml:space="preserve">Finance / Management</w:t>
            </w:r>
          </w:p>
        </w:tc>
        <w:tc>
          <w:tcPr/>
          <w:p>
            <w:pPr>
              <w:pStyle w:val="Compact"/>
              <w:jc w:val="left"/>
            </w:pPr>
            <w:r>
              <w:t xml:space="preserve">Financial reporting access; senior read-only dashboards.</w:t>
            </w:r>
          </w:p>
        </w:tc>
      </w:tr>
      <w:tr>
        <w:tc>
          <w:tcPr/>
          <w:p>
            <w:pPr>
              <w:pStyle w:val="Compact"/>
              <w:jc w:val="left"/>
            </w:pPr>
            <w:r>
              <w:rPr>
                <w:bCs/>
                <w:b/>
              </w:rPr>
              <w:t xml:space="preserve">Managing Director (Kamal)</w:t>
            </w:r>
          </w:p>
        </w:tc>
        <w:tc>
          <w:tcPr/>
          <w:p>
            <w:pPr>
              <w:pStyle w:val="Compact"/>
              <w:jc w:val="left"/>
            </w:pPr>
            <w:r>
              <w:t xml:space="preserve">Review layer: receives AN’s Monthly Business Review; makes maximum-three decisions per cycle; reclassification authority in v2.1 cadence rules. Read-only dashboards.</w:t>
            </w:r>
          </w:p>
        </w:tc>
      </w:tr>
    </w:tbl>
    <w:bookmarkEnd w:id="21"/>
    <w:bookmarkEnd w:id="22"/>
    <w:bookmarkStart w:id="29" w:name="client-structure-market-classification"/>
    <w:p>
      <w:pPr>
        <w:pStyle w:val="Heading1"/>
      </w:pPr>
      <w:r>
        <w:t xml:space="preserve">2. Client Structure &amp; Market Classification</w:t>
      </w:r>
    </w:p>
    <w:bookmarkStart w:id="23" w:name="Xd9cf1beae71d2eae8a1ca2ea52eb5e516e595ed"/>
    <w:p>
      <w:pPr>
        <w:pStyle w:val="Heading2"/>
      </w:pPr>
      <w:r>
        <w:t xml:space="preserve">2.1 Market Classification — the AN Framework (LOCKED)</w:t>
      </w:r>
    </w:p>
    <w:p>
      <w:pPr>
        <w:pStyle w:val="FirstParagraph"/>
      </w:pPr>
      <w:r>
        <w:rPr>
          <w:bCs/>
          <w:b/>
        </w:rPr>
        <w:t xml:space="preserve">Non-negotiable counting rule:</w:t>
      </w:r>
      <w:r>
        <w:t xml:space="preserve"> </w:t>
      </w:r>
      <w:r>
        <w:t xml:space="preserve">every operating hotel appears once only, in exactly one of four categories.</w:t>
      </w:r>
      <w:r>
        <w:t xml:space="preserve"> </w:t>
      </w:r>
      <w:r>
        <w:rPr>
          <w:bCs/>
          <w:b/>
        </w:rPr>
        <w:t xml:space="preserve">Total Operating Hotels (TOH) = Excluded + C + ANC + PC</w:t>
      </w:r>
      <w:r>
        <w:t xml:space="preserve">, reconciled exactly, per branch. Greenfield sites are a separate list, never inside TOH.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Category</w:t>
            </w:r>
          </w:p>
        </w:tc>
        <w:tc>
          <w:tcPr/>
          <w:p>
            <w:pPr>
              <w:pStyle w:val="Compact"/>
              <w:jc w:val="left"/>
            </w:pPr>
            <w:r>
              <w:rPr>
                <w:bCs/>
                <w:b/>
              </w:rPr>
              <w:t xml:space="preserve">Definition</w:t>
            </w:r>
          </w:p>
        </w:tc>
        <w:tc>
          <w:tcPr/>
          <w:p>
            <w:pPr>
              <w:pStyle w:val="Compact"/>
              <w:jc w:val="left"/>
            </w:pPr>
            <w:r>
              <w:rPr>
                <w:bCs/>
                <w:b/>
              </w:rPr>
              <w:t xml:space="preserve">Primary owner</w:t>
            </w:r>
          </w:p>
        </w:tc>
      </w:tr>
      <w:tr>
        <w:tc>
          <w:tcPr/>
          <w:p>
            <w:pPr>
              <w:pStyle w:val="Compact"/>
              <w:jc w:val="left"/>
            </w:pPr>
            <w:r>
              <w:rPr>
                <w:bCs/>
                <w:b/>
              </w:rPr>
              <w:t xml:space="preserve">C — Consumable Client</w:t>
            </w:r>
          </w:p>
        </w:tc>
        <w:tc>
          <w:tcPr/>
          <w:p>
            <w:pPr>
              <w:pStyle w:val="Compact"/>
              <w:jc w:val="left"/>
            </w:pPr>
            <w:r>
              <w:t xml:space="preserve">Operating hotel regularly buying consumables, with an active SOW and scheduled service visits.</w:t>
            </w:r>
          </w:p>
        </w:tc>
        <w:tc>
          <w:tcPr/>
          <w:p>
            <w:pPr>
              <w:pStyle w:val="Compact"/>
              <w:jc w:val="left"/>
            </w:pPr>
            <w:r>
              <w:t xml:space="preserve">SE primary; SL and OM oversight</w:t>
            </w:r>
          </w:p>
        </w:tc>
      </w:tr>
      <w:tr>
        <w:tc>
          <w:tcPr/>
          <w:p>
            <w:pPr>
              <w:pStyle w:val="Compact"/>
              <w:jc w:val="left"/>
            </w:pPr>
            <w:r>
              <w:rPr>
                <w:bCs/>
                <w:b/>
              </w:rPr>
              <w:t xml:space="preserve">ANC — Active NC Client</w:t>
            </w:r>
          </w:p>
        </w:tc>
        <w:tc>
          <w:tcPr/>
          <w:p>
            <w:pPr>
              <w:pStyle w:val="Compact"/>
              <w:jc w:val="left"/>
            </w:pPr>
            <w:r>
              <w:t xml:space="preserve">Non-C operating hotel with at least one NC order in the previous six months. AN may retain a strategic account as ANC where the purchasing cycle is longer but the relationship remains active and commercially important.</w:t>
            </w:r>
          </w:p>
        </w:tc>
        <w:tc>
          <w:tcPr/>
          <w:p>
            <w:pPr>
              <w:pStyle w:val="Compact"/>
              <w:jc w:val="left"/>
            </w:pPr>
            <w:r>
              <w:t xml:space="preserve">Head of Hospitality Department (AN)</w:t>
            </w:r>
          </w:p>
        </w:tc>
      </w:tr>
      <w:tr>
        <w:tc>
          <w:tcPr/>
          <w:p>
            <w:pPr>
              <w:pStyle w:val="Compact"/>
              <w:jc w:val="left"/>
            </w:pPr>
            <w:r>
              <w:rPr>
                <w:bCs/>
                <w:b/>
              </w:rPr>
              <w:t xml:space="preserve">PC — Potential Client</w:t>
            </w:r>
          </w:p>
        </w:tc>
        <w:tc>
          <w:tcPr/>
          <w:p>
            <w:pPr>
              <w:pStyle w:val="Compact"/>
              <w:jc w:val="left"/>
            </w:pPr>
            <w:r>
              <w:t xml:space="preserve">Operating hotel that is not Excluded, not C, not ANC. The development pool.</w:t>
            </w:r>
          </w:p>
        </w:tc>
        <w:tc>
          <w:tcPr/>
          <w:p>
            <w:pPr>
              <w:pStyle w:val="Compact"/>
              <w:jc w:val="left"/>
            </w:pPr>
            <w:r>
              <w:t xml:space="preserve">Head of Hospitality Department (AN)</w:t>
            </w:r>
          </w:p>
        </w:tc>
      </w:tr>
      <w:tr>
        <w:tc>
          <w:tcPr/>
          <w:p>
            <w:pPr>
              <w:pStyle w:val="Compact"/>
              <w:jc w:val="left"/>
            </w:pPr>
            <w:r>
              <w:rPr>
                <w:bCs/>
                <w:b/>
              </w:rPr>
              <w:t xml:space="preserve">Excluded</w:t>
            </w:r>
          </w:p>
        </w:tc>
        <w:tc>
          <w:tcPr/>
          <w:p>
            <w:pPr>
              <w:pStyle w:val="Compact"/>
              <w:jc w:val="left"/>
            </w:pPr>
            <w:r>
              <w:t xml:space="preserve">Operating hotel deliberately outside active pursuit — documented reason mandatory (chronic bad payment, closure/suspension, formal rejection, repeated unsuccessful attempts, strategic decision) + periodic review date so exclusions stay visible and justified.</w:t>
            </w:r>
          </w:p>
        </w:tc>
        <w:tc>
          <w:tcPr/>
          <w:p>
            <w:pPr>
              <w:pStyle w:val="Compact"/>
              <w:jc w:val="left"/>
            </w:pPr>
            <w:r>
              <w:t xml:space="preserve">AN approves; reviewed periodically</w:t>
            </w:r>
          </w:p>
        </w:tc>
      </w:tr>
      <w:tr>
        <w:tc>
          <w:tcPr/>
          <w:p>
            <w:pPr>
              <w:pStyle w:val="Compact"/>
              <w:jc w:val="left"/>
            </w:pPr>
            <w:r>
              <w:rPr>
                <w:bCs/>
                <w:b/>
              </w:rPr>
              <w:t xml:space="preserve">Greenfield</w:t>
            </w:r>
          </w:p>
        </w:tc>
        <w:tc>
          <w:tcPr/>
          <w:p>
            <w:pPr>
              <w:pStyle w:val="Compact"/>
              <w:jc w:val="left"/>
            </w:pPr>
            <w:r>
              <w:t xml:space="preserve">Hotel under construction or advanced planning. Outside TOH, monitored separately as the future market (see 2.5).</w:t>
            </w:r>
          </w:p>
        </w:tc>
        <w:tc>
          <w:tcPr/>
          <w:p>
            <w:pPr>
              <w:pStyle w:val="Compact"/>
              <w:jc w:val="left"/>
            </w:pPr>
            <w:r>
              <w:t xml:space="preserve">AN with Projects/Aquatics + branch</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C-precedence</w:t>
            </w:r>
          </w:p>
        </w:tc>
        <w:tc>
          <w:tcPr/>
          <w:p>
            <w:pPr>
              <w:pStyle w:val="Compact"/>
              <w:jc w:val="left"/>
            </w:pPr>
            <w:r>
              <w:t xml:space="preserve">A C client that also buys NC remains simply</w:t>
            </w:r>
            <w:r>
              <w:t xml:space="preserve"> </w:t>
            </w:r>
            <w:r>
              <w:rPr>
                <w:bCs/>
                <w:b/>
              </w:rPr>
              <w:t xml:space="preserve">C</w:t>
            </w:r>
            <w:r>
              <w:t xml:space="preserve">. Its NC development is monitored INSIDE the C framework (Section 10.4) — NC purchases never reclassify the hotel as ANC in the market count.</w:t>
            </w:r>
          </w:p>
        </w:tc>
      </w:tr>
      <w:tr>
        <w:tc>
          <w:tcPr/>
          <w:p>
            <w:pPr>
              <w:pStyle w:val="Compact"/>
              <w:jc w:val="left"/>
            </w:pPr>
            <w:r>
              <w:rPr>
                <w:bCs/>
                <w:b/>
              </w:rPr>
              <w:t xml:space="preserve">ANC status mechanics</w:t>
            </w:r>
          </w:p>
        </w:tc>
        <w:tc>
          <w:tcPr/>
          <w:p>
            <w:pPr>
              <w:pStyle w:val="Compact"/>
              <w:jc w:val="left"/>
            </w:pPr>
            <w:r>
              <w:t xml:space="preserve">Auto-suggested, manually controlled: the system flags hotels crossing the 6-month rule in either direction (new NC order → suggest ANC; no order in 6 months → suggest demotion to PC). The Head of Hospitality Department (AN) confirms — preserving AN strategic exceptions.</w:t>
            </w:r>
          </w:p>
        </w:tc>
      </w:tr>
      <w:tr>
        <w:tc>
          <w:tcPr/>
          <w:p>
            <w:pPr>
              <w:pStyle w:val="Compact"/>
              <w:jc w:val="left"/>
            </w:pPr>
            <w:r>
              <w:rPr>
                <w:bCs/>
                <w:b/>
              </w:rPr>
              <w:t xml:space="preserve">Classification history</w:t>
            </w:r>
          </w:p>
        </w:tc>
        <w:tc>
          <w:tcPr/>
          <w:p>
            <w:pPr>
              <w:pStyle w:val="Compact"/>
              <w:jc w:val="left"/>
            </w:pPr>
            <w:r>
              <w:t xml:space="preserve">Every transition (PC→ANC, ANC→C, →Excluded, Greenfield→TOH, etc.) is logged with date, reason, and approver. Coverage reporting stays honest year over year.</w:t>
            </w:r>
          </w:p>
        </w:tc>
      </w:tr>
      <w:tr>
        <w:tc>
          <w:tcPr/>
          <w:p>
            <w:pPr>
              <w:pStyle w:val="Compact"/>
              <w:jc w:val="left"/>
            </w:pPr>
            <w:r>
              <w:rPr>
                <w:bCs/>
                <w:b/>
              </w:rPr>
              <w:t xml:space="preserve">Prospect tier dissolved</w:t>
            </w:r>
          </w:p>
        </w:tc>
        <w:tc>
          <w:tcPr/>
          <w:p>
            <w:pPr>
              <w:pStyle w:val="Compact"/>
              <w:jc w:val="left"/>
            </w:pPr>
            <w:r>
              <w:t xml:space="preserve">Rev 7’s separate</w:t>
            </w:r>
            <w:r>
              <w:t xml:space="preserve"> </w:t>
            </w:r>
            <w:r>
              <w:t xml:space="preserve">“</w:t>
            </w:r>
            <w:r>
              <w:t xml:space="preserve">Prospect</w:t>
            </w:r>
            <w:r>
              <w:t xml:space="preserve">”</w:t>
            </w:r>
            <w:r>
              <w:t xml:space="preserve"> </w:t>
            </w:r>
            <w:r>
              <w:t xml:space="preserve">tier no longer exists: a never-visited hotel is a</w:t>
            </w:r>
            <w:r>
              <w:t xml:space="preserve"> </w:t>
            </w:r>
            <w:r>
              <w:rPr>
                <w:bCs/>
                <w:b/>
              </w:rPr>
              <w:t xml:space="preserve">PC with zero visit history</w:t>
            </w:r>
            <w:r>
              <w:t xml:space="preserve">. Prospect intelligence fields are retained on the client record (see 11.3).</w:t>
            </w:r>
          </w:p>
        </w:tc>
      </w:tr>
      <w:tr>
        <w:tc>
          <w:tcPr/>
          <w:p>
            <w:pPr>
              <w:pStyle w:val="Compact"/>
              <w:jc w:val="left"/>
            </w:pPr>
            <w:r>
              <w:rPr>
                <w:bCs/>
                <w:b/>
              </w:rPr>
              <w:t xml:space="preserve">Relationship layers never change the count</w:t>
            </w:r>
          </w:p>
        </w:tc>
        <w:tc>
          <w:tcPr/>
          <w:p>
            <w:pPr>
              <w:pStyle w:val="Compact"/>
              <w:jc w:val="left"/>
            </w:pPr>
            <w:r>
              <w:t xml:space="preserve">Owning-company relationships, operator relationships, project opportunities, and C-client NC purchases are monitored separately and never create or change a market category (Manual §3.3).</w:t>
            </w:r>
          </w:p>
        </w:tc>
      </w:tr>
    </w:tbl>
    <w:bookmarkEnd w:id="23"/>
    <w:bookmarkStart w:id="24" w:name="Xea1d8c8d4d19ac757659562de7c769b53266db2"/>
    <w:p>
      <w:pPr>
        <w:pStyle w:val="Heading2"/>
      </w:pPr>
      <w:r>
        <w:t xml:space="preserve">2.2 Client Hierarchy, Ownership &amp; Property Attributes</w:t>
      </w:r>
    </w:p>
    <w:p>
      <w:pPr>
        <w:numPr>
          <w:ilvl w:val="0"/>
          <w:numId w:val="1002"/>
        </w:numPr>
      </w:pPr>
      <w:r>
        <w:t xml:space="preserve">Group (hotel chain) → Site (individual property). Contacts configurable at both levels.</w:t>
      </w:r>
    </w:p>
    <w:p>
      <w:pPr>
        <w:numPr>
          <w:ilvl w:val="0"/>
          <w:numId w:val="1002"/>
        </w:numPr>
      </w:pPr>
      <w:r>
        <w:rPr>
          <w:bCs/>
          <w:b/>
        </w:rPr>
        <w:t xml:space="preserve">Owning company</w:t>
      </w:r>
      <w:r>
        <w:t xml:space="preserve"> </w:t>
      </w:r>
      <w:r>
        <w:t xml:space="preserve">and</w:t>
      </w:r>
      <w:r>
        <w:t xml:space="preserve"> </w:t>
      </w:r>
      <w:r>
        <w:rPr>
          <w:bCs/>
          <w:b/>
        </w:rPr>
        <w:t xml:space="preserve">Operator</w:t>
      </w:r>
      <w:r>
        <w:t xml:space="preserve"> </w:t>
      </w:r>
      <w:r>
        <w:t xml:space="preserve">are two separate fields on every hotel (both optional —</w:t>
      </w:r>
      <w:r>
        <w:t xml:space="preserve"> </w:t>
      </w:r>
      <w:r>
        <w:t xml:space="preserve">“</w:t>
      </w:r>
      <w:r>
        <w:t xml:space="preserve">where known</w:t>
      </w:r>
      <w:r>
        <w:t xml:space="preserve">”</w:t>
      </w:r>
      <w:r>
        <w:t xml:space="preserve"> </w:t>
      </w:r>
      <w:r>
        <w:t xml:space="preserve">— filled as intelligence accumulates; OM/AN-manageable company lists). The operator sets standards and controls engineering practice; the owner controls capex and projects. Group-concentration analysis (Section 18.2) works on either axis.</w:t>
      </w:r>
    </w:p>
    <w:p>
      <w:pPr>
        <w:numPr>
          <w:ilvl w:val="0"/>
          <w:numId w:val="1002"/>
        </w:numPr>
      </w:pPr>
      <w:r>
        <w:rPr>
          <w:bCs/>
          <w:b/>
        </w:rPr>
        <w:t xml:space="preserve">Property type</w:t>
      </w:r>
      <w:r>
        <w:t xml:space="preserve"> </w:t>
      </w:r>
      <w:r>
        <w:t xml:space="preserve">per site (list in Section 1) — Cruise Ships carry special behaviours: own SOW template (tank-based, mobile systems — template still to be designed, open item), visit model tied to docking schedule, standing-order revenue expected (Section 10.1).</w:t>
      </w:r>
    </w:p>
    <w:p>
      <w:pPr>
        <w:numPr>
          <w:ilvl w:val="0"/>
          <w:numId w:val="1002"/>
        </w:numPr>
      </w:pPr>
      <w:r>
        <w:rPr>
          <w:bCs/>
          <w:b/>
        </w:rPr>
        <w:t xml:space="preserve">Star rating</w:t>
      </w:r>
      <w:r>
        <w:t xml:space="preserve"> </w:t>
      </w:r>
      <w:r>
        <w:t xml:space="preserve">on the property record (Hotels and Cruise Ships). The SOW displays and snapshots the value at signature time (like all SOW content); the live record stays current. Analysis axis for V/V by star category and prospect prioritisation.</w:t>
      </w:r>
    </w:p>
    <w:p>
      <w:pPr>
        <w:numPr>
          <w:ilvl w:val="0"/>
          <w:numId w:val="1002"/>
        </w:numPr>
      </w:pPr>
      <w:r>
        <w:t xml:space="preserve">Contacts per site: CE, GM, Purchasing Manager, Finance Manager, Hygiene/Safety Manager, plus custom roles. Each contact has a report-recipient flag — OFF by default. Reports NEVER auto-send to group level; group directors receive reports only if explicitly switched on.</w:t>
      </w:r>
    </w:p>
    <w:p>
      <w:pPr>
        <w:numPr>
          <w:ilvl w:val="0"/>
          <w:numId w:val="1002"/>
        </w:numPr>
      </w:pPr>
      <w:r>
        <w:rPr>
          <w:bCs/>
          <w:b/>
        </w:rPr>
        <w:t xml:space="preserve">Branch + Area assignment</w:t>
      </w:r>
      <w:r>
        <w:t xml:space="preserve"> </w:t>
      </w:r>
      <w:r>
        <w:t xml:space="preserve">is effective-dated per Section 1.</w:t>
      </w:r>
    </w:p>
    <w:bookmarkEnd w:id="24"/>
    <w:bookmarkStart w:id="25" w:name="Xf61f5d8881eaf756d86330db965e55dcae6e2be"/>
    <w:p>
      <w:pPr>
        <w:pStyle w:val="Heading2"/>
      </w:pPr>
      <w:r>
        <w:t xml:space="preserve">2.3 Owning Company / Operator Relationship Record (LOCKED, v2.0)</w:t>
      </w:r>
    </w:p>
    <w:p>
      <w:pPr>
        <w:pStyle w:val="FirstParagraph"/>
      </w:pPr>
      <w:r>
        <w:t xml:space="preserve">A strategic-layer record per major owning company OR operator (a company-role field distinguishes which):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Fields</w:t>
            </w:r>
          </w:p>
        </w:tc>
        <w:tc>
          <w:tcPr/>
          <w:p>
            <w:pPr>
              <w:pStyle w:val="Compact"/>
              <w:jc w:val="left"/>
            </w:pPr>
            <w:r>
              <w:t xml:space="preserve">Portfolio (auto-linked — all hotels carrying that company) · relationship strength · current business value (auto-summed from linked hotels) · strategic opportunity · risk · next action · relationship owner.</w:t>
            </w:r>
          </w:p>
        </w:tc>
      </w:tr>
      <w:tr>
        <w:tc>
          <w:tcPr/>
          <w:p>
            <w:pPr>
              <w:pStyle w:val="Compact"/>
              <w:jc w:val="left"/>
            </w:pPr>
            <w:r>
              <w:rPr>
                <w:bCs/>
                <w:b/>
              </w:rPr>
              <w:t xml:space="preserve">Cadence</w:t>
            </w:r>
          </w:p>
        </w:tc>
        <w:tc>
          <w:tcPr/>
          <w:p>
            <w:pPr>
              <w:pStyle w:val="Compact"/>
              <w:jc w:val="left"/>
            </w:pPr>
            <w:r>
              <w:t xml:space="preserve">Reviewed at the quarterly strategic-account meeting; top rows feed AN MBR page 7.</w:t>
            </w:r>
          </w:p>
        </w:tc>
      </w:tr>
      <w:tr>
        <w:tc>
          <w:tcPr/>
          <w:p>
            <w:pPr>
              <w:pStyle w:val="Compact"/>
              <w:jc w:val="left"/>
            </w:pPr>
            <w:r>
              <w:rPr>
                <w:bCs/>
                <w:b/>
              </w:rPr>
              <w:t xml:space="preserve">Boundary</w:t>
            </w:r>
          </w:p>
        </w:tc>
        <w:tc>
          <w:tcPr/>
          <w:p>
            <w:pPr>
              <w:pStyle w:val="Compact"/>
              <w:jc w:val="left"/>
            </w:pPr>
            <w:r>
              <w:t xml:space="preserve">A relationship layer only — never changes any hotel’s count or classification. Target insight: where ST has strong hotel-level business but weak ownership/operator-level access.</w:t>
            </w:r>
          </w:p>
        </w:tc>
      </w:tr>
    </w:tbl>
    <w:bookmarkEnd w:id="25"/>
    <w:bookmarkStart w:id="26" w:name="two-service-tracks"/>
    <w:p>
      <w:pPr>
        <w:pStyle w:val="Heading2"/>
      </w:pPr>
      <w:r>
        <w:t xml:space="preserve">2.4 Two Service Tracks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C Client (Consumable)</w:t>
            </w:r>
          </w:p>
        </w:tc>
        <w:tc>
          <w:tcPr/>
          <w:p>
            <w:pPr>
              <w:pStyle w:val="Compact"/>
              <w:jc w:val="left"/>
            </w:pPr>
            <w:r>
              <w:rPr>
                <w:bCs/>
                <w:b/>
              </w:rPr>
              <w:t xml:space="preserve">ANC / PC (Sales track)</w:t>
            </w:r>
          </w:p>
        </w:tc>
      </w:tr>
      <w:tr>
        <w:tc>
          <w:tcPr/>
          <w:p>
            <w:pPr>
              <w:pStyle w:val="Compact"/>
              <w:jc w:val="left"/>
            </w:pPr>
            <w:r>
              <w:rPr>
                <w:bCs/>
                <w:b/>
              </w:rPr>
              <w:t xml:space="preserve">Contract</w:t>
            </w:r>
          </w:p>
        </w:tc>
        <w:tc>
          <w:tcPr/>
          <w:p>
            <w:pPr>
              <w:pStyle w:val="Compact"/>
              <w:jc w:val="left"/>
            </w:pPr>
            <w:r>
              <w:t xml:space="preserve">Active SOW + scheduled service visits</w:t>
            </w:r>
          </w:p>
        </w:tc>
        <w:tc>
          <w:tcPr/>
          <w:p>
            <w:pPr>
              <w:pStyle w:val="Compact"/>
              <w:jc w:val="left"/>
            </w:pPr>
            <w:r>
              <w:t xml:space="preserve">No SOW — planned sales visits (Section 4, List 4)</w:t>
            </w:r>
          </w:p>
        </w:tc>
      </w:tr>
      <w:tr>
        <w:tc>
          <w:tcPr/>
          <w:p>
            <w:pPr>
              <w:pStyle w:val="Compact"/>
              <w:jc w:val="left"/>
            </w:pPr>
            <w:r>
              <w:rPr>
                <w:bCs/>
                <w:b/>
              </w:rPr>
              <w:t xml:space="preserve">Per-client V/V</w:t>
            </w:r>
          </w:p>
        </w:tc>
        <w:tc>
          <w:tcPr/>
          <w:p>
            <w:pPr>
              <w:pStyle w:val="Compact"/>
              <w:jc w:val="left"/>
            </w:pPr>
            <w:r>
              <w:t xml:space="preserve">Invoiced sales ÷ visits</w:t>
            </w:r>
          </w:p>
        </w:tc>
        <w:tc>
          <w:tcPr/>
          <w:p>
            <w:pPr>
              <w:pStyle w:val="Compact"/>
              <w:jc w:val="left"/>
            </w:pPr>
            <w:r>
              <w:t xml:space="preserve">Invoiced (NC) sales ÷ visits</w:t>
            </w:r>
          </w:p>
        </w:tc>
      </w:tr>
      <w:tr>
        <w:tc>
          <w:tcPr/>
          <w:p>
            <w:pPr>
              <w:pStyle w:val="Compact"/>
              <w:jc w:val="left"/>
            </w:pPr>
            <w:r>
              <w:rPr>
                <w:bCs/>
                <w:b/>
              </w:rPr>
              <w:t xml:space="preserve">Primary metric</w:t>
            </w:r>
          </w:p>
        </w:tc>
        <w:tc>
          <w:tcPr/>
          <w:p>
            <w:pPr>
              <w:pStyle w:val="Compact"/>
              <w:jc w:val="left"/>
            </w:pPr>
            <w:r>
              <w:t xml:space="preserve">V/V vs branch cost per visit; NC/C %</w:t>
            </w:r>
          </w:p>
        </w:tc>
        <w:tc>
          <w:tcPr/>
          <w:p>
            <w:pPr>
              <w:pStyle w:val="Compact"/>
              <w:jc w:val="left"/>
            </w:pPr>
            <w:r>
              <w:t xml:space="preserve">Coverage % vs plan; offer success rate (count + value)</w:t>
            </w:r>
          </w:p>
        </w:tc>
      </w:tr>
      <w:tr>
        <w:tc>
          <w:tcPr/>
          <w:p>
            <w:pPr>
              <w:pStyle w:val="Compact"/>
              <w:jc w:val="left"/>
            </w:pPr>
            <w:r>
              <w:rPr>
                <w:bCs/>
                <w:b/>
              </w:rPr>
              <w:t xml:space="preserve">Entry point</w:t>
            </w:r>
          </w:p>
        </w:tc>
        <w:tc>
          <w:tcPr/>
          <w:p>
            <w:pPr>
              <w:pStyle w:val="Compact"/>
              <w:jc w:val="left"/>
            </w:pPr>
            <w:r>
              <w:t xml:space="preserve">—</w:t>
            </w:r>
          </w:p>
        </w:tc>
        <w:tc>
          <w:tcPr/>
          <w:p>
            <w:pPr>
              <w:pStyle w:val="Compact"/>
              <w:jc w:val="left"/>
            </w:pPr>
            <w:r>
              <w:t xml:space="preserve">NC products (lower margin, easier sell)</w:t>
            </w:r>
          </w:p>
        </w:tc>
      </w:tr>
      <w:tr>
        <w:tc>
          <w:tcPr/>
          <w:p>
            <w:pPr>
              <w:pStyle w:val="Compact"/>
              <w:jc w:val="left"/>
            </w:pPr>
            <w:r>
              <w:rPr>
                <w:bCs/>
                <w:b/>
              </w:rPr>
              <w:t xml:space="preserve">Conversion</w:t>
            </w:r>
          </w:p>
        </w:tc>
        <w:tc>
          <w:tcPr/>
          <w:p>
            <w:pPr>
              <w:pStyle w:val="Compact"/>
              <w:jc w:val="left"/>
            </w:pPr>
            <w:r>
              <w:t xml:space="preserve">—</w:t>
            </w:r>
          </w:p>
        </w:tc>
        <w:tc>
          <w:tcPr/>
          <w:p>
            <w:pPr>
              <w:pStyle w:val="Compact"/>
              <w:jc w:val="left"/>
            </w:pPr>
            <w:r>
              <w:t xml:space="preserve">2+ consecutive months regular consumable purchases → triggers SOW → becomes C client. First NC order → suggest ANC.</w:t>
            </w:r>
          </w:p>
        </w:tc>
      </w:tr>
      <w:tr>
        <w:tc>
          <w:tcPr/>
          <w:p>
            <w:pPr>
              <w:pStyle w:val="Compact"/>
              <w:jc w:val="left"/>
            </w:pPr>
            <w:r>
              <w:rPr>
                <w:bCs/>
                <w:b/>
              </w:rPr>
              <w:t xml:space="preserve">System / potential capture (NEW Rev 10)</w:t>
            </w:r>
          </w:p>
        </w:tc>
        <w:tc>
          <w:tcPr/>
          <w:p>
            <w:pPr>
              <w:pStyle w:val="Compact"/>
              <w:jc w:val="left"/>
            </w:pPr>
            <w:r>
              <w:t xml:space="preserve">Via SOW + audits</w:t>
            </w:r>
          </w:p>
        </w:tc>
        <w:tc>
          <w:tcPr/>
          <w:p>
            <w:pPr>
              <w:pStyle w:val="Compact"/>
              <w:jc w:val="left"/>
            </w:pPr>
            <w:r>
              <w:t xml:space="preserve">The site systems screen works IDENTICALLY for ANC/PC sites: the SE records installed units (system type, physical data, config-driven fields) during sales visits — structured capture of the account’s potential. No active SOW → the visit form shows all systems as prospect systems, everything optional; demonstration readings allowed, auto-marked out-of-scope. At conversion to C, the first SOW’s full-accounting sign-off is PRE-POPULATED from the recorded units — courtship data becomes the contract skeleton. Potential-VALUE calculation = v2.1 (Section 23); v2.0 ships clean structured capture. Extends §8.7 market intelligence to the whole ANC/PC pipeline.</w:t>
            </w:r>
          </w:p>
        </w:tc>
      </w:tr>
    </w:tbl>
    <w:p>
      <w:pPr>
        <w:pStyle w:val="BodyText"/>
      </w:pPr>
      <w:r>
        <w:rPr>
          <w:bCs/>
          <w:b/>
        </w:rPr>
        <w:t xml:space="preserve">⚠ Design note:</w:t>
      </w:r>
      <w:r>
        <w:t xml:space="preserve"> </w:t>
      </w:r>
      <w:r>
        <w:t xml:space="preserve">SEs naturally deprioritise sales visits in favour of C clients. Two counters: the system makes ANC/PC coverage as visible as C service (planned coverage + coverage %, Section 4), and opportunity management as visible as service management (7-stage pipeline, Section 10.5).</w:t>
      </w:r>
    </w:p>
    <w:bookmarkEnd w:id="26"/>
    <w:bookmarkStart w:id="27" w:name="X2c72bb7b44e9c10bb1dcd67eb446d0aa0364336"/>
    <w:p>
      <w:pPr>
        <w:pStyle w:val="Heading2"/>
      </w:pPr>
      <w:r>
        <w:t xml:space="preserve">2.5 Greenfield Sites (LOCKED, v2.0 — extended per Manual Item 4)</w:t>
      </w:r>
    </w:p>
    <w:p>
      <w:pPr>
        <w:pStyle w:val="FirstParagraph"/>
      </w:pPr>
      <w:r>
        <w:t xml:space="preserve">Greenfield sites live in the same hotel table with</w:t>
      </w:r>
      <w:r>
        <w:t xml:space="preserve"> </w:t>
      </w:r>
      <w:r>
        <w:rPr>
          <w:bCs/>
          <w:b/>
        </w:rPr>
        <w:t xml:space="preserve">market_status = Greenfield</w:t>
      </w:r>
      <w:r>
        <w:t xml:space="preserve"> </w:t>
      </w:r>
      <w:r>
        <w:t xml:space="preserve">(vs Operating) — no migration on opening day.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Per-site fields</w:t>
            </w:r>
          </w:p>
        </w:tc>
        <w:tc>
          <w:tcPr/>
          <w:p>
            <w:pPr>
              <w:pStyle w:val="Compact"/>
              <w:jc w:val="left"/>
            </w:pPr>
            <w:r>
              <w:t xml:space="preserve">Developer/owner · operator (if selected) · consultant · contractors · project stage · expected opening date · known systems being installed ·</w:t>
            </w:r>
            <w:r>
              <w:t xml:space="preserve"> </w:t>
            </w:r>
            <w:r>
              <w:rPr>
                <w:bCs/>
                <w:b/>
              </w:rPr>
              <w:t xml:space="preserve">ST position</w:t>
            </w:r>
            <w:r>
              <w:t xml:space="preserve"> </w:t>
            </w:r>
            <w:r>
              <w:t xml:space="preserve">(free assessment) ·</w:t>
            </w:r>
            <w:r>
              <w:t xml:space="preserve"> </w:t>
            </w:r>
            <w:r>
              <w:rPr>
                <w:bCs/>
                <w:b/>
              </w:rPr>
              <w:t xml:space="preserve">Engaged / Not yet engaged</w:t>
            </w:r>
            <w:r>
              <w:t xml:space="preserve"> </w:t>
            </w:r>
            <w:r>
              <w:t xml:space="preserve">status ·</w:t>
            </w:r>
            <w:r>
              <w:t xml:space="preserve"> </w:t>
            </w:r>
            <w:r>
              <w:rPr>
                <w:bCs/>
                <w:b/>
              </w:rPr>
              <w:t xml:space="preserve">ST Specified</w:t>
            </w:r>
            <w:r>
              <w:t xml:space="preserve"> </w:t>
            </w:r>
            <w:r>
              <w:t xml:space="preserve">flag (our products/standards written into the spec) · linked opportunities (7-stage pipeline, Section 10.5) · next action + owner · contact if any.</w:t>
            </w:r>
          </w:p>
        </w:tc>
      </w:tr>
      <w:tr>
        <w:tc>
          <w:tcPr/>
          <w:p>
            <w:pPr>
              <w:pStyle w:val="Compact"/>
              <w:jc w:val="left"/>
            </w:pPr>
            <w:r>
              <w:rPr>
                <w:bCs/>
                <w:b/>
              </w:rPr>
              <w:t xml:space="preserve">Branch rollup (feeds MBR p4)</w:t>
            </w:r>
          </w:p>
        </w:tc>
        <w:tc>
          <w:tcPr/>
          <w:p>
            <w:pPr>
              <w:pStyle w:val="Compact"/>
              <w:jc w:val="left"/>
            </w:pPr>
            <w:r>
              <w:t xml:space="preserve">Total Greenfield sites · engaged vs not yet engaged · active opportunities · ST Specified count ·</w:t>
            </w:r>
            <w:r>
              <w:t xml:space="preserve"> </w:t>
            </w:r>
            <w:r>
              <w:rPr>
                <w:bCs/>
                <w:b/>
              </w:rPr>
              <w:t xml:space="preserve">coverage % = engaged ÷ total</w:t>
            </w:r>
            <w:r>
              <w:t xml:space="preserve">.</w:t>
            </w:r>
          </w:p>
        </w:tc>
      </w:tr>
      <w:tr>
        <w:tc>
          <w:tcPr/>
          <w:p>
            <w:pPr>
              <w:pStyle w:val="Compact"/>
              <w:jc w:val="left"/>
            </w:pPr>
            <w:r>
              <w:rPr>
                <w:bCs/>
                <w:b/>
              </w:rPr>
              <w:t xml:space="preserve">Graduation</w:t>
            </w:r>
          </w:p>
        </w:tc>
        <w:tc>
          <w:tcPr/>
          <w:p>
            <w:pPr>
              <w:pStyle w:val="Compact"/>
              <w:jc w:val="left"/>
            </w:pPr>
            <w:r>
              <w:t xml:space="preserve">On opening, market_status flips to Operating and the site enters TOH — normally as PC, or directly as C/ANC if supply was won during construction — carrying its full relationship history. Own pin colour on the coverage map.</w:t>
            </w:r>
          </w:p>
        </w:tc>
      </w:tr>
    </w:tbl>
    <w:bookmarkEnd w:id="27"/>
    <w:bookmarkStart w:id="28" w:name="X8c36656061fa61536f1b0aab6d8f5f0290215f8"/>
    <w:p>
      <w:pPr>
        <w:pStyle w:val="Heading2"/>
      </w:pPr>
      <w:r>
        <w:t xml:space="preserve">2.6 Commercial Behaviour Classification (pointer)</w:t>
      </w:r>
    </w:p>
    <w:p>
      <w:pPr>
        <w:pStyle w:val="FirstParagraph"/>
      </w:pPr>
      <w:r>
        <w:t xml:space="preserve">A separate, later-release commercial classification axis exists and is deliberately independent of the Section 2.1 market classification. It is out of Stage 1 scope; nothing in Stage 1 references it. Design principle to honour now: the two axes must never share a field (Data Model Rev 4 rule 4.6).</w:t>
      </w:r>
    </w:p>
    <w:bookmarkEnd w:id="28"/>
    <w:bookmarkEnd w:id="29"/>
    <w:bookmarkStart w:id="30" w:name="visit-types"/>
    <w:p>
      <w:pPr>
        <w:pStyle w:val="Heading1"/>
      </w:pPr>
      <w:r>
        <w:t xml:space="preserve">3. Visit Types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Type</w:t>
            </w:r>
          </w:p>
        </w:tc>
        <w:tc>
          <w:tcPr/>
          <w:p>
            <w:pPr>
              <w:pStyle w:val="Compact"/>
              <w:jc w:val="left"/>
            </w:pPr>
            <w:r>
              <w:rPr>
                <w:bCs/>
                <w:b/>
              </w:rPr>
              <w:t xml:space="preserve">Rules</w:t>
            </w:r>
          </w:p>
        </w:tc>
      </w:tr>
      <w:tr>
        <w:tc>
          <w:tcPr/>
          <w:p>
            <w:pPr>
              <w:pStyle w:val="Compact"/>
              <w:jc w:val="left"/>
            </w:pPr>
            <w:r>
              <w:rPr>
                <w:bCs/>
                <w:b/>
              </w:rPr>
              <w:t xml:space="preserve">Service</w:t>
            </w:r>
          </w:p>
        </w:tc>
        <w:tc>
          <w:tcPr/>
          <w:p>
            <w:pPr>
              <w:pStyle w:val="Compact"/>
              <w:jc w:val="left"/>
            </w:pPr>
            <w:r>
              <w:t xml:space="preserve">C clients only. SOW required. Covers all in-scope systems in one report. Scheduled from C client list with visit counter.</w:t>
            </w:r>
          </w:p>
        </w:tc>
      </w:tr>
      <w:tr>
        <w:tc>
          <w:tcPr/>
          <w:p>
            <w:pPr>
              <w:pStyle w:val="Compact"/>
              <w:jc w:val="left"/>
            </w:pPr>
            <w:r>
              <w:rPr>
                <w:bCs/>
                <w:b/>
              </w:rPr>
              <w:t xml:space="preserve">Sales</w:t>
            </w:r>
          </w:p>
        </w:tc>
        <w:tc>
          <w:tcPr/>
          <w:p>
            <w:pPr>
              <w:pStyle w:val="Compact"/>
              <w:jc w:val="left"/>
            </w:pPr>
            <w:r>
              <w:t xml:space="preserve">ANC + PC clients. No analysis.</w:t>
            </w:r>
            <w:r>
              <w:t xml:space="preserve"> </w:t>
            </w:r>
            <w:r>
              <w:rPr>
                <w:bCs/>
                <w:b/>
              </w:rPr>
              <w:t xml:space="preserve">Planned per the coverage system (Section 4, List 4)</w:t>
            </w:r>
            <w:r>
              <w:t xml:space="preserve"> </w:t>
            </w:r>
            <w:r>
              <w:t xml:space="preserve">with a mandatory</w:t>
            </w:r>
            <w:r>
              <w:t xml:space="preserve"> </w:t>
            </w:r>
            <w:r>
              <w:rPr>
                <w:bCs/>
                <w:b/>
              </w:rPr>
              <w:t xml:space="preserve">purpose</w:t>
            </w:r>
            <w:r>
              <w:t xml:space="preserve"> </w:t>
            </w:r>
            <w:r>
              <w:t xml:space="preserve">field per planned visit: Relationship maintenance / Opportunity development / Proposal follow-up / Project access / Conversion. Unplanned sales visits remain allowed (reason logged) and count toward coverage. Visits + offers + orders tracked for coverage %, Growth Engine, and ROI monitoring.</w:t>
            </w:r>
          </w:p>
        </w:tc>
      </w:tr>
      <w:tr>
        <w:tc>
          <w:tcPr/>
          <w:p>
            <w:pPr>
              <w:pStyle w:val="Compact"/>
              <w:jc w:val="left"/>
            </w:pPr>
            <w:r>
              <w:rPr>
                <w:bCs/>
                <w:b/>
              </w:rPr>
              <w:t xml:space="preserve">Courtesy Analysis</w:t>
            </w:r>
          </w:p>
        </w:tc>
        <w:tc>
          <w:tcPr/>
          <w:p>
            <w:pPr>
              <w:pStyle w:val="Compact"/>
              <w:jc w:val="left"/>
            </w:pPr>
            <w:r>
              <w:t xml:space="preserve">ANC/PC clients — ST performs analysis as a commercial courtesy (no SOW). Max 2, then 3rd blocked until SOW created. (Renamed from</w:t>
            </w:r>
            <w:r>
              <w:t xml:space="preserve"> </w:t>
            </w:r>
            <w:r>
              <w:t xml:space="preserve">‘</w:t>
            </w:r>
            <w:r>
              <w:t xml:space="preserve">Prospecting Visit</w:t>
            </w:r>
            <w:r>
              <w:t xml:space="preserve">’</w:t>
            </w:r>
            <w:r>
              <w:t xml:space="preserve">.)</w:t>
            </w:r>
          </w:p>
        </w:tc>
      </w:tr>
      <w:tr>
        <w:tc>
          <w:tcPr/>
          <w:p>
            <w:pPr>
              <w:pStyle w:val="Compact"/>
              <w:jc w:val="left"/>
            </w:pPr>
            <w:r>
              <w:rPr>
                <w:bCs/>
                <w:b/>
              </w:rPr>
              <w:t xml:space="preserve">Emergency</w:t>
            </w:r>
          </w:p>
        </w:tc>
        <w:tc>
          <w:tcPr/>
          <w:p>
            <w:pPr>
              <w:pStyle w:val="Compact"/>
              <w:jc w:val="left"/>
            </w:pPr>
            <w:r>
              <w:t xml:space="preserve">Bypasses monthly plan. Reason code required (safety/compliance risk, operational variance, or convenience). SE can test any system including out-of-SOW. SL reviews monthly.</w:t>
            </w:r>
          </w:p>
        </w:tc>
      </w:tr>
      <w:tr>
        <w:tc>
          <w:tcPr/>
          <w:p>
            <w:pPr>
              <w:pStyle w:val="Compact"/>
              <w:jc w:val="left"/>
            </w:pPr>
            <w:r>
              <w:rPr>
                <w:bCs/>
                <w:b/>
              </w:rPr>
              <w:t xml:space="preserve">SL Visit</w:t>
            </w:r>
          </w:p>
        </w:tc>
        <w:tc>
          <w:tcPr/>
          <w:p>
            <w:pPr>
              <w:pStyle w:val="Compact"/>
              <w:jc w:val="left"/>
            </w:pPr>
            <w:r>
              <w:t xml:space="preserve">Separate log. Fields: date, client, reason, outcome, promises made.</w:t>
            </w:r>
          </w:p>
        </w:tc>
      </w:tr>
      <w:tr>
        <w:tc>
          <w:tcPr/>
          <w:p>
            <w:pPr>
              <w:pStyle w:val="Compact"/>
              <w:jc w:val="left"/>
            </w:pPr>
            <w:r>
              <w:rPr>
                <w:bCs/>
                <w:b/>
              </w:rPr>
              <w:t xml:space="preserve">Micro Sampling</w:t>
            </w:r>
          </w:p>
        </w:tc>
        <w:tc>
          <w:tcPr/>
          <w:p>
            <w:pPr>
              <w:pStyle w:val="Compact"/>
              <w:jc w:val="left"/>
            </w:pPr>
            <w:r>
              <w:t xml:space="preserve">Dedicated visit to ONE hotel (not a multi-hotel run). Separate from service visits. Scheduled or unscheduled.</w:t>
            </w:r>
          </w:p>
        </w:tc>
      </w:tr>
      <w:tr>
        <w:tc>
          <w:tcPr/>
          <w:p>
            <w:pPr>
              <w:pStyle w:val="Compact"/>
              <w:jc w:val="left"/>
            </w:pPr>
            <w:r>
              <w:rPr>
                <w:bCs/>
                <w:b/>
              </w:rPr>
              <w:t xml:space="preserve">Campaign / Audit</w:t>
            </w:r>
          </w:p>
        </w:tc>
        <w:tc>
          <w:tcPr/>
          <w:p>
            <w:pPr>
              <w:pStyle w:val="Compact"/>
              <w:jc w:val="left"/>
            </w:pPr>
            <w:r>
              <w:t xml:space="preserve">Separate from service visits. One hotel per visit. Appears in SE calendar only once OM publishes the campaign questionnaire.</w:t>
            </w:r>
          </w:p>
        </w:tc>
      </w:tr>
      <w:tr>
        <w:tc>
          <w:tcPr/>
          <w:p>
            <w:pPr>
              <w:pStyle w:val="Compact"/>
              <w:jc w:val="left"/>
            </w:pPr>
            <w:r>
              <w:rPr>
                <w:bCs/>
                <w:b/>
              </w:rPr>
              <w:t xml:space="preserve">Unplanned (any)</w:t>
            </w:r>
          </w:p>
        </w:tc>
        <w:tc>
          <w:tcPr/>
          <w:p>
            <w:pPr>
              <w:pStyle w:val="Compact"/>
              <w:jc w:val="left"/>
            </w:pPr>
            <w:r>
              <w:t xml:space="preserve">Allowed, but SE must select a dropdown reason: Emergency / Sales / Relationship / Other.</w:t>
            </w:r>
          </w:p>
        </w:tc>
      </w:tr>
    </w:tbl>
    <w:bookmarkEnd w:id="30"/>
    <w:bookmarkStart w:id="33" w:name="X1bda88cc40141fe1f52a6f6c5d18f8f895e44fd"/>
    <w:p>
      <w:pPr>
        <w:pStyle w:val="Heading1"/>
      </w:pPr>
      <w:r>
        <w:t xml:space="preserve">4. SE Monthly Visit Scheduling — 4 Lists + Coverage</w:t>
      </w:r>
    </w:p>
    <w:p>
      <w:pPr>
        <w:pStyle w:val="FirstParagraph"/>
      </w:pPr>
      <w:r>
        <w:t xml:space="preserve">Four separate source lists feed one calendar. SE drags names onto calendar days. Pre-seeded smart draft is v2.1 — in v2.0 the SE builds from blank. The calendar supports a</w:t>
      </w:r>
      <w:r>
        <w:t xml:space="preserve"> </w:t>
      </w:r>
      <w:r>
        <w:rPr>
          <w:bCs/>
          <w:b/>
        </w:rPr>
        <w:t xml:space="preserve">commercial-time slot label</w:t>
      </w:r>
      <w:r>
        <w:t xml:space="preserve"> </w:t>
      </w:r>
      <w:r>
        <w:t xml:space="preserve">(config) so SLs can visibly protect ~4 hrs/week for commercial work when approving schedules — a label only, no enforcement or tracking.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List</w:t>
            </w:r>
          </w:p>
        </w:tc>
        <w:tc>
          <w:tcPr/>
          <w:p>
            <w:pPr>
              <w:pStyle w:val="Compact"/>
              <w:jc w:val="left"/>
            </w:pPr>
            <w:r>
              <w:rPr>
                <w:bCs/>
                <w:b/>
              </w:rPr>
              <w:t xml:space="preserve">Logic</w:t>
            </w:r>
          </w:p>
        </w:tc>
        <w:tc>
          <w:tcPr/>
          <w:p>
            <w:pPr>
              <w:pStyle w:val="Compact"/>
              <w:jc w:val="left"/>
            </w:pPr>
            <w:r>
              <w:rPr>
                <w:bCs/>
                <w:b/>
              </w:rPr>
              <w:t xml:space="preserve">SE behaviour</w:t>
            </w:r>
          </w:p>
        </w:tc>
      </w:tr>
      <w:tr>
        <w:tc>
          <w:tcPr/>
          <w:p>
            <w:pPr>
              <w:pStyle w:val="Compact"/>
              <w:jc w:val="left"/>
            </w:pPr>
            <w:r>
              <w:rPr>
                <w:bCs/>
                <w:b/>
              </w:rPr>
              <w:t xml:space="preserve">1. C service</w:t>
            </w:r>
          </w:p>
        </w:tc>
        <w:tc>
          <w:tcPr/>
          <w:p>
            <w:pPr>
              <w:pStyle w:val="Compact"/>
              <w:jc w:val="left"/>
            </w:pPr>
            <w:r>
              <w:rPr>
                <w:bCs/>
                <w:b/>
              </w:rPr>
              <w:t xml:space="preserve">Stage 1: the system SUGGESTS the visit count per C client from the live current_visits_per_month field; the SE manually places visits on dates.</w:t>
            </w:r>
            <w:r>
              <w:t xml:space="preserve"> </w:t>
            </w:r>
            <w:r>
              <w:t xml:space="preserve">Annual visit count proposed by system from V/V tier; SE requests change with reason; SL approves annually. The pre-seeded smart schedule auto-draft is v2.1 and optional — manual scheduling always remains available.</w:t>
            </w:r>
          </w:p>
        </w:tc>
        <w:tc>
          <w:tcPr/>
          <w:p>
            <w:pPr>
              <w:pStyle w:val="Compact"/>
              <w:jc w:val="left"/>
            </w:pPr>
            <w:r>
              <w:t xml:space="preserve">Drag until satisfied. Counter shows placed/remaining (e.g. 1/4). Unplaced names stay visible with counter.</w:t>
            </w:r>
          </w:p>
        </w:tc>
      </w:tr>
      <w:tr>
        <w:tc>
          <w:tcPr/>
          <w:p>
            <w:pPr>
              <w:pStyle w:val="Compact"/>
              <w:jc w:val="left"/>
            </w:pPr>
            <w:r>
              <w:rPr>
                <w:bCs/>
                <w:b/>
              </w:rPr>
              <w:t xml:space="preserve">2. Micro sampling</w:t>
            </w:r>
          </w:p>
        </w:tc>
        <w:tc>
          <w:tcPr/>
          <w:p>
            <w:pPr>
              <w:pStyle w:val="Compact"/>
              <w:jc w:val="left"/>
            </w:pPr>
            <w:r>
              <w:t xml:space="preserve">Schedule-driven. System surfaces clients due this month per SOW micro programme.</w:t>
            </w:r>
          </w:p>
        </w:tc>
        <w:tc>
          <w:tcPr/>
          <w:p>
            <w:pPr>
              <w:pStyle w:val="Compact"/>
              <w:jc w:val="left"/>
            </w:pPr>
            <w:r>
              <w:t xml:space="preserve">Drag onto calendar. No quota — appears only if due.</w:t>
            </w:r>
          </w:p>
        </w:tc>
      </w:tr>
      <w:tr>
        <w:tc>
          <w:tcPr/>
          <w:p>
            <w:pPr>
              <w:pStyle w:val="Compact"/>
              <w:jc w:val="left"/>
            </w:pPr>
            <w:r>
              <w:rPr>
                <w:bCs/>
                <w:b/>
              </w:rPr>
              <w:t xml:space="preserve">3. Campaign</w:t>
            </w:r>
          </w:p>
        </w:tc>
        <w:tc>
          <w:tcPr/>
          <w:p>
            <w:pPr>
              <w:pStyle w:val="Compact"/>
              <w:jc w:val="left"/>
            </w:pPr>
            <w:r>
              <w:t xml:space="preserve">Appears only once OM publishes the campaign questionnaire for the cycle. Locked before publish.</w:t>
            </w:r>
          </w:p>
        </w:tc>
        <w:tc>
          <w:tcPr/>
          <w:p>
            <w:pPr>
              <w:pStyle w:val="Compact"/>
              <w:jc w:val="left"/>
            </w:pPr>
            <w:r>
              <w:t xml:space="preserve">Drag onto calendar during the campaign window.</w:t>
            </w:r>
          </w:p>
        </w:tc>
      </w:tr>
      <w:tr>
        <w:tc>
          <w:tcPr/>
          <w:p>
            <w:pPr>
              <w:pStyle w:val="Compact"/>
              <w:jc w:val="left"/>
            </w:pPr>
            <w:r>
              <w:rPr>
                <w:bCs/>
                <w:b/>
              </w:rPr>
              <w:t xml:space="preserve">4. ANC/PC sales (planned)</w:t>
            </w:r>
          </w:p>
        </w:tc>
        <w:tc>
          <w:tcPr/>
          <w:p>
            <w:pPr>
              <w:pStyle w:val="Compact"/>
              <w:jc w:val="left"/>
            </w:pPr>
            <w:r>
              <w:rPr>
                <w:bCs/>
                <w:b/>
              </w:rPr>
              <w:t xml:space="preserve">REWRITTEN (was</w:t>
            </w:r>
            <w:r>
              <w:t xml:space="preserve">** ****</w:t>
            </w:r>
            <w:r>
              <w:t xml:space="preserve">“</w:t>
            </w:r>
            <w:r>
              <w:t xml:space="preserve">****opportunistic, no quota****</w:t>
            </w:r>
            <w:r>
              <w:t xml:space="preserve">”</w:t>
            </w:r>
            <w:r>
              <w:t xml:space="preserve">****).** The</w:t>
            </w:r>
            <w:r>
              <w:t xml:space="preserve"> </w:t>
            </w:r>
            <w:r>
              <w:rPr>
                <w:bCs/>
                <w:b/>
              </w:rPr>
              <w:t xml:space="preserve">SL sets the required visits/year for each ANC and PC account and assigns the responsible SE; AN approves the schedule.</w:t>
            </w:r>
            <w:r>
              <w:t xml:space="preserve"> </w:t>
            </w:r>
            <w:r>
              <w:t xml:space="preserve">PC tier defaults the SL works from:</w:t>
            </w:r>
            <w:r>
              <w:t xml:space="preserve"> </w:t>
            </w:r>
            <w:r>
              <w:rPr>
                <w:bCs/>
                <w:b/>
              </w:rPr>
              <w:t xml:space="preserve">Priority PC = 2 planned visits/year · Standard PC = 1/year</w:t>
            </w:r>
            <w:r>
              <w:t xml:space="preserve"> </w:t>
            </w:r>
            <w:r>
              <w:t xml:space="preserve">(PC tier assignment sits with AN’s development pool; SL sets the numbers). ANC accounts get a plain per-account visits/year (must be ≥ the PC standard — ANC is covered more regularly). Formal ANC frequency</w:t>
            </w:r>
            <w:r>
              <w:t xml:space="preserve"> </w:t>
            </w:r>
            <w:r>
              <w:rPr>
                <w:iCs/>
                <w:i/>
              </w:rPr>
              <w:t xml:space="preserve">tiers</w:t>
            </w:r>
            <w:r>
              <w:t xml:space="preserve"> </w:t>
            </w:r>
            <w:r>
              <w:t xml:space="preserve">are v2.1, after initial data review. Every planned visit carries the purpose field (Section 3).</w:t>
            </w:r>
          </w:p>
        </w:tc>
        <w:tc>
          <w:tcPr/>
          <w:p>
            <w:pPr>
              <w:pStyle w:val="Compact"/>
              <w:jc w:val="left"/>
            </w:pPr>
            <w:r>
              <w:t xml:space="preserve">Drag planned sales visits like service visits; counters show coverage progress. Opportunistic additions always allowed — they count toward coverage.</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Submission</w:t>
            </w:r>
          </w:p>
        </w:tc>
        <w:tc>
          <w:tcPr/>
          <w:p>
            <w:pPr>
              <w:pStyle w:val="Compact"/>
              <w:jc w:val="left"/>
            </w:pPr>
            <w:r>
              <w:t xml:space="preserve">SE submits to SL. SL sees: full calendar + unplaced C counters + micro clients not scheduled + campaign clients not scheduled + planned ANC/PC visits vs frequency.</w:t>
            </w:r>
          </w:p>
        </w:tc>
      </w:tr>
      <w:tr>
        <w:tc>
          <w:tcPr/>
          <w:p>
            <w:pPr>
              <w:pStyle w:val="Compact"/>
              <w:jc w:val="left"/>
            </w:pPr>
            <w:r>
              <w:rPr>
                <w:bCs/>
                <w:b/>
              </w:rPr>
              <w:t xml:space="preserve">Approval</w:t>
            </w:r>
          </w:p>
        </w:tc>
        <w:tc>
          <w:tcPr/>
          <w:p>
            <w:pPr>
              <w:pStyle w:val="Compact"/>
              <w:jc w:val="left"/>
            </w:pPr>
            <w:r>
              <w:t xml:space="preserve">SL approves the monthly schedule (service side, as before). The annual ANC/PC frequencies + SE assignments are SL-built and</w:t>
            </w:r>
            <w:r>
              <w:t xml:space="preserve"> </w:t>
            </w:r>
            <w:r>
              <w:rPr>
                <w:bCs/>
                <w:b/>
              </w:rPr>
              <w:t xml:space="preserve">AN-approved</w:t>
            </w:r>
            <w:r>
              <w:t xml:space="preserve">; monthly placement happens inside that approved plan.</w:t>
            </w:r>
          </w:p>
        </w:tc>
      </w:tr>
      <w:tr>
        <w:tc>
          <w:tcPr/>
          <w:p>
            <w:pPr>
              <w:pStyle w:val="Compact"/>
              <w:jc w:val="left"/>
            </w:pPr>
            <w:r>
              <w:rPr>
                <w:bCs/>
                <w:b/>
              </w:rPr>
              <w:t xml:space="preserve">Post-approval changes</w:t>
            </w:r>
          </w:p>
        </w:tc>
        <w:tc>
          <w:tcPr/>
          <w:p>
            <w:pPr>
              <w:pStyle w:val="Compact"/>
              <w:jc w:val="left"/>
            </w:pPr>
            <w:r>
              <w:t xml:space="preserve">Logged with reason. No re-approval. System records all changes (prevents schedule drift).</w:t>
            </w:r>
          </w:p>
        </w:tc>
      </w:tr>
      <w:tr>
        <w:tc>
          <w:tcPr/>
          <w:p>
            <w:pPr>
              <w:pStyle w:val="Compact"/>
              <w:jc w:val="left"/>
            </w:pPr>
            <w:r>
              <w:rPr>
                <w:bCs/>
                <w:b/>
              </w:rPr>
              <w:t xml:space="preserve">Visit count changes (C) (amended Rev 9)</w:t>
            </w:r>
          </w:p>
        </w:tc>
        <w:tc>
          <w:tcPr/>
          <w:p>
            <w:pPr>
              <w:pStyle w:val="Compact"/>
              <w:jc w:val="left"/>
            </w:pPr>
            <w:r>
              <w:t xml:space="preserve">V/V tier change is NOT auto-applied. Surfaces as MOM agenda item:</w:t>
            </w:r>
            <w:r>
              <w:t xml:space="preserve"> </w:t>
            </w:r>
            <w:r>
              <w:t xml:space="preserve">‘</w:t>
            </w:r>
            <w:r>
              <w:t xml:space="preserve">Based on V/V and NC opportunities, should visits/month change?</w:t>
            </w:r>
            <w:r>
              <w:t xml:space="preserve">’</w:t>
            </w:r>
            <w:r>
              <w:t xml:space="preserve"> </w:t>
            </w:r>
            <w:r>
              <w:t xml:space="preserve">Updated during MOM if agreed.</w:t>
            </w:r>
            <w:r>
              <w:t xml:space="preserve"> </w:t>
            </w:r>
            <w:r>
              <w:rPr>
                <w:bCs/>
                <w:b/>
              </w:rPr>
              <w:t xml:space="preserve">The operational visits-per-month is a live field on the client record</w:t>
            </w:r>
            <w:r>
              <w:t xml:space="preserve"> </w:t>
            </w:r>
            <w:r>
              <w:t xml:space="preserve">— adjustable UP or DOWN by MOM or SL decision at any time, with an append-only change log (old, new, effective date, changed-by, trigger link). It is NOT governed by the SOW and carries no contractual floor; changing it never triggers an SOW revision. Under-visiting drift is surfaced by the V/V and Buying-Without-Visits reports (Section 10.1) — a reporting guardrail, deliberately not a schema constraint.</w:t>
            </w:r>
          </w:p>
        </w:tc>
      </w:tr>
      <w:tr>
        <w:tc>
          <w:tcPr/>
          <w:p>
            <w:pPr>
              <w:pStyle w:val="Compact"/>
              <w:jc w:val="left"/>
            </w:pPr>
            <w:r>
              <w:rPr>
                <w:bCs/>
                <w:b/>
              </w:rPr>
              <w:t xml:space="preserve">Annual territory planning</w:t>
            </w:r>
          </w:p>
        </w:tc>
        <w:tc>
          <w:tcPr/>
          <w:p>
            <w:pPr>
              <w:pStyle w:val="Compact"/>
              <w:jc w:val="left"/>
            </w:pPr>
            <w:r>
              <w:t xml:space="preserve">Once a year (AN + OM + SLs): validate masterlists, classifications, excluded accounts, coverage frequencies, manpower implications, annual campaigns — the same cycle as the annual C visit-count approval.</w:t>
            </w:r>
          </w:p>
        </w:tc>
      </w:tr>
    </w:tbl>
    <w:bookmarkStart w:id="31" w:name="Xee93fdd5ce0ab733515460f0afc6d956cd890d3"/>
    <w:p>
      <w:pPr>
        <w:pStyle w:val="Heading2"/>
      </w:pPr>
      <w:r>
        <w:t xml:space="preserve">4.1 Coverage Tracking (LOCKED — Manual conflict C-1 resolution)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Coverage %</w:t>
            </w:r>
          </w:p>
        </w:tc>
        <w:tc>
          <w:tcPr/>
          <w:p>
            <w:pPr>
              <w:pStyle w:val="Compact"/>
              <w:jc w:val="left"/>
            </w:pPr>
            <w:r>
              <w:t xml:space="preserve">Planned vs completed sales visits, per branch, split ANC and PC — computed automatically from the frequencies above. Coverage is measured against PLAN, not against</w:t>
            </w:r>
            <w:r>
              <w:t xml:space="preserve"> </w:t>
            </w:r>
            <w:r>
              <w:t xml:space="preserve">“</w:t>
            </w:r>
            <w:r>
              <w:t xml:space="preserve">ever visited historically</w:t>
            </w:r>
            <w:r>
              <w:t xml:space="preserve">”</w:t>
            </w:r>
            <w:r>
              <w:t xml:space="preserve">.</w:t>
            </w:r>
          </w:p>
        </w:tc>
      </w:tr>
      <w:tr>
        <w:tc>
          <w:tcPr/>
          <w:p>
            <w:pPr>
              <w:pStyle w:val="Compact"/>
              <w:jc w:val="left"/>
            </w:pPr>
            <w:r>
              <w:rPr>
                <w:bCs/>
                <w:b/>
              </w:rPr>
              <w:t xml:space="preserve">Corrective discipline</w:t>
            </w:r>
          </w:p>
        </w:tc>
        <w:tc>
          <w:tcPr/>
          <w:p>
            <w:pPr>
              <w:pStyle w:val="Compact"/>
              <w:jc w:val="left"/>
            </w:pPr>
            <w:r>
              <w:t xml:space="preserve">Branches falling behind plan must show a corrective action, owner and revised timing (Reporting Architecture, Section 17).</w:t>
            </w:r>
          </w:p>
        </w:tc>
      </w:tr>
    </w:tbl>
    <w:bookmarkEnd w:id="31"/>
    <w:bookmarkStart w:id="32" w:name="X6f4ff3fb583eb1854045c751024bdceba43ce28"/>
    <w:p>
      <w:pPr>
        <w:pStyle w:val="Heading2"/>
      </w:pPr>
      <w:r>
        <w:t xml:space="preserve">4.2 Planned vs Actual Dashboard (LOCKED, v2.0 — restored Gap 4)</w:t>
      </w:r>
    </w:p>
    <w:p>
      <w:pPr>
        <w:pStyle w:val="FirstParagraph"/>
      </w:pPr>
      <w:r>
        <w:t xml:space="preserve">SE monthly view: planned visits vs completed, % completion per month, and which clients were missed with the recorded reason. Visible to the SE and their SL; feeds the internal MOM. Computed entirely from the approved schedule, actual visits, and the post-approval change log — no new data capture.</w:t>
      </w:r>
    </w:p>
    <w:bookmarkEnd w:id="32"/>
    <w:bookmarkEnd w:id="33"/>
    <w:bookmarkStart w:id="38" w:name="scope-of-work-sow"/>
    <w:p>
      <w:pPr>
        <w:pStyle w:val="Heading1"/>
      </w:pPr>
      <w:r>
        <w:t xml:space="preserve">5. Scope of Work (SOW)</w:t>
      </w:r>
    </w:p>
    <w:p>
      <w:pPr>
        <w:pStyle w:val="FirstParagraph"/>
      </w:pPr>
      <w:r>
        <w:rPr>
          <w:bCs/>
          <w:b/>
        </w:rPr>
        <w:t xml:space="preserve">The SOW is a legal and commercial protection document.</w:t>
      </w:r>
      <w:r>
        <w:t xml:space="preserve"> </w:t>
      </w:r>
      <w:r>
        <w:t xml:space="preserve">It defines exactly which systems ST is responsible for — AND which it is not.</w:t>
      </w:r>
      <w:r>
        <w:t xml:space="preserve"> </w:t>
      </w:r>
      <w:r>
        <w:rPr>
          <w:bCs/>
          <w:b/>
        </w:rPr>
        <w:t xml:space="preserve">(Rev 9)</w:t>
      </w:r>
      <w:r>
        <w:t xml:space="preserve"> </w:t>
      </w:r>
      <w:r>
        <w:t xml:space="preserve">The signed SOW lists every known system at the property as either IN-SCOPE or EXCLUDED, plus a catch-all clause, so a client signature settles responsibility: if a problem arises on a system ST does not treat, ST’s position rests on a signed acknowledgment, not on silence.</w:t>
      </w:r>
    </w:p>
    <w:bookmarkStart w:id="34" w:name="triggers-governance"/>
    <w:p>
      <w:pPr>
        <w:pStyle w:val="Heading2"/>
      </w:pPr>
      <w:r>
        <w:t xml:space="preserve">5.1 Triggers &amp; Governance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Triggers (amended Rev 9)</w:t>
            </w:r>
          </w:p>
        </w:tc>
        <w:tc>
          <w:tcPr/>
          <w:p>
            <w:pPr>
              <w:pStyle w:val="Compact"/>
              <w:jc w:val="left"/>
            </w:pPr>
            <w:r>
              <w:t xml:space="preserve">New client · system added · system REMOVED · annual renewal · SE change. Visit-count changes NEVER trigger an SOW revision — operational cadence lives outside the SOW (Section 4).</w:t>
            </w:r>
          </w:p>
        </w:tc>
      </w:tr>
      <w:tr>
        <w:tc>
          <w:tcPr/>
          <w:p>
            <w:pPr>
              <w:pStyle w:val="Compact"/>
              <w:jc w:val="left"/>
            </w:pPr>
            <w:r>
              <w:rPr>
                <w:bCs/>
                <w:b/>
              </w:rPr>
              <w:t xml:space="preserve">SOW lifecycle</w:t>
            </w:r>
          </w:p>
        </w:tc>
        <w:tc>
          <w:tcPr/>
          <w:p>
            <w:pPr>
              <w:pStyle w:val="Compact"/>
              <w:jc w:val="left"/>
            </w:pPr>
            <w:r>
              <w:t xml:space="preserve">SE drafts → SL approves → OM acknowledges. (This is the client-facing SOW authoring/approval flow; the internal SOW cost approval is the separate branch-level chain below.)</w:t>
            </w:r>
          </w:p>
        </w:tc>
      </w:tr>
      <w:tr>
        <w:tc>
          <w:tcPr/>
          <w:p>
            <w:pPr>
              <w:pStyle w:val="Compact"/>
              <w:jc w:val="left"/>
            </w:pPr>
            <w:r>
              <w:rPr>
                <w:bCs/>
                <w:b/>
              </w:rPr>
              <w:t xml:space="preserve">Client SOW</w:t>
            </w:r>
          </w:p>
        </w:tc>
        <w:tc>
          <w:tcPr/>
          <w:p>
            <w:pPr>
              <w:pStyle w:val="Compact"/>
              <w:jc w:val="left"/>
            </w:pPr>
            <w:r>
              <w:t xml:space="preserve">2-party signature: client rep + ST rep.</w:t>
            </w:r>
          </w:p>
        </w:tc>
      </w:tr>
      <w:tr>
        <w:tc>
          <w:tcPr/>
          <w:p>
            <w:pPr>
              <w:pStyle w:val="Compact"/>
              <w:jc w:val="left"/>
            </w:pPr>
            <w:r>
              <w:rPr>
                <w:bCs/>
                <w:b/>
              </w:rPr>
              <w:t xml:space="preserve">Internal SOW approval</w:t>
            </w:r>
          </w:p>
        </w:tc>
        <w:tc>
          <w:tcPr/>
          <w:p>
            <w:pPr>
              <w:pStyle w:val="Compact"/>
              <w:jc w:val="left"/>
            </w:pPr>
            <w:r>
              <w:t xml:space="preserve">SE drafts → Branch SL approves →</w:t>
            </w:r>
            <w:r>
              <w:t xml:space="preserve"> </w:t>
            </w:r>
            <w:r>
              <w:rPr>
                <w:bCs/>
                <w:b/>
              </w:rPr>
              <w:t xml:space="preserve">Branch Accountant</w:t>
            </w:r>
            <w:r>
              <w:t xml:space="preserve"> </w:t>
            </w:r>
            <w:r>
              <w:t xml:space="preserve">approves (financial approval, branch level) → OM acknowledges. The Branch Accountant is determined by the client’s current branch assignment. On approval, the</w:t>
            </w:r>
            <w:r>
              <w:t xml:space="preserve"> </w:t>
            </w:r>
            <w:r>
              <w:rPr>
                <w:bCs/>
                <w:b/>
              </w:rPr>
              <w:t xml:space="preserve">Hospitality Financial Manager</w:t>
            </w:r>
            <w:r>
              <w:t xml:space="preserve"> </w:t>
            </w:r>
            <w:r>
              <w:t xml:space="preserve">and the</w:t>
            </w:r>
            <w:r>
              <w:t xml:space="preserve"> </w:t>
            </w:r>
            <w:r>
              <w:rPr>
                <w:bCs/>
                <w:b/>
              </w:rPr>
              <w:t xml:space="preserve">Head of Hospitality Department (AN)</w:t>
            </w:r>
            <w:r>
              <w:t xml:space="preserve"> </w:t>
            </w:r>
            <w:r>
              <w:t xml:space="preserve">are NOTIFIED of the approved SOW — oversight by notification, NOT an approval gate; neither blocks the SOW. (Supersedes the prior 3-tier chain; the Hospitality Financial Manager is no longer a gating approver.)</w:t>
            </w:r>
          </w:p>
        </w:tc>
      </w:tr>
      <w:tr>
        <w:tc>
          <w:tcPr/>
          <w:p>
            <w:pPr>
              <w:pStyle w:val="Compact"/>
              <w:jc w:val="left"/>
            </w:pPr>
            <w:r>
              <w:rPr>
                <w:bCs/>
                <w:b/>
              </w:rPr>
              <w:t xml:space="preserve">Roles referenced here</w:t>
            </w:r>
          </w:p>
        </w:tc>
        <w:tc>
          <w:tcPr/>
          <w:p>
            <w:pPr>
              <w:pStyle w:val="Compact"/>
              <w:jc w:val="left"/>
            </w:pPr>
            <w:r>
              <w:rPr>
                <w:bCs/>
                <w:b/>
              </w:rPr>
              <w:t xml:space="preserve">Branch Accountant</w:t>
            </w:r>
            <w:r>
              <w:t xml:space="preserve"> </w:t>
            </w:r>
            <w:r>
              <w:t xml:space="preserve">— a per-branch financial-approval role, one per branch/area like the SL, approving SOW financials for clients in that branch.</w:t>
            </w:r>
            <w:r>
              <w:t xml:space="preserve"> </w:t>
            </w:r>
            <w:r>
              <w:rPr>
                <w:bCs/>
                <w:b/>
              </w:rPr>
              <w:t xml:space="preserve">Hospitality Financial Manager</w:t>
            </w:r>
            <w:r>
              <w:t xml:space="preserve"> </w:t>
            </w:r>
            <w:r>
              <w:t xml:space="preserve">— a distinct department-level role, now oversight-by-notification for SOWs. These are two different roles/people: the Head of Hospitality Department (AN, commercial) and the Hospitality Financial Manager (departmental finance) are NOT the same person.</w:t>
            </w:r>
          </w:p>
        </w:tc>
      </w:tr>
      <w:tr>
        <w:tc>
          <w:tcPr/>
          <w:p>
            <w:pPr>
              <w:pStyle w:val="Compact"/>
              <w:jc w:val="left"/>
            </w:pPr>
            <w:r>
              <w:rPr>
                <w:bCs/>
                <w:b/>
              </w:rPr>
              <w:t xml:space="preserve">Signature (v2.0)</w:t>
            </w:r>
          </w:p>
        </w:tc>
        <w:tc>
          <w:tcPr/>
          <w:p>
            <w:pPr>
              <w:pStyle w:val="Compact"/>
              <w:jc w:val="left"/>
            </w:pPr>
            <w:r>
              <w:t xml:space="preserve">Physical signature + scanned upload. Digital signatures = v2.1 (data model already accommodates).</w:t>
            </w:r>
          </w:p>
        </w:tc>
      </w:tr>
      <w:tr>
        <w:tc>
          <w:tcPr/>
          <w:p>
            <w:pPr>
              <w:pStyle w:val="Compact"/>
              <w:jc w:val="left"/>
            </w:pPr>
            <w:r>
              <w:rPr>
                <w:bCs/>
                <w:b/>
              </w:rPr>
              <w:t xml:space="preserve">Version history</w:t>
            </w:r>
          </w:p>
        </w:tc>
        <w:tc>
          <w:tcPr/>
          <w:p>
            <w:pPr>
              <w:pStyle w:val="Compact"/>
              <w:jc w:val="left"/>
            </w:pPr>
            <w:r>
              <w:t xml:space="preserve">Never deleted. All prior versions preserved with timestamps and signatory records. Each signed revision is IMMUTABLE — a scope change means a new revision (Data Model Rev 2).</w:t>
            </w:r>
          </w:p>
        </w:tc>
      </w:tr>
      <w:tr>
        <w:tc>
          <w:tcPr/>
          <w:p>
            <w:pPr>
              <w:pStyle w:val="Compact"/>
              <w:jc w:val="left"/>
            </w:pPr>
            <w:r>
              <w:rPr>
                <w:bCs/>
                <w:b/>
              </w:rPr>
              <w:t xml:space="preserve">Exclusions &amp;</w:t>
            </w:r>
            <w:r>
              <w:t xml:space="preserve">** full accounting (NEW Rev 9)**</w:t>
            </w:r>
          </w:p>
        </w:tc>
        <w:tc>
          <w:tcPr/>
          <w:p>
            <w:pPr>
              <w:pStyle w:val="Compact"/>
              <w:jc w:val="left"/>
            </w:pPr>
            <w:r>
              <w:t xml:space="preserve">Every system unit known at the property appears on the signed SOW as IN-SCOPE (full physical-data snapshot) or EXCLUDED (name + type only,</w:t>
            </w:r>
            <w:r>
              <w:t xml:space="preserve"> </w:t>
            </w:r>
            <w:r>
              <w:t xml:space="preserve">‘</w:t>
            </w:r>
            <w:r>
              <w:t xml:space="preserve">exists at the property, expressly outside ST’s scope</w:t>
            </w:r>
            <w:r>
              <w:t xml:space="preserve">’</w:t>
            </w:r>
            <w:r>
              <w:t xml:space="preserve">). Validation BLOCKS sign-off unless every known system is accounted for one way or the other.</w:t>
            </w:r>
          </w:p>
        </w:tc>
      </w:tr>
      <w:tr>
        <w:tc>
          <w:tcPr/>
          <w:p>
            <w:pPr>
              <w:pStyle w:val="Compact"/>
              <w:jc w:val="left"/>
            </w:pPr>
            <w:r>
              <w:rPr>
                <w:bCs/>
                <w:b/>
              </w:rPr>
              <w:t xml:space="preserve">Catch-all clause (NEW Rev 9)</w:t>
            </w:r>
          </w:p>
        </w:tc>
        <w:tc>
          <w:tcPr/>
          <w:p>
            <w:pPr>
              <w:pStyle w:val="Compact"/>
              <w:jc w:val="left"/>
            </w:pPr>
            <w:r>
              <w:t xml:space="preserve">Standard bilingual text on every SOW: any water system present at the property not expressly listed — whether as in-scope or excluded — is not treated by ST and falls outside ST’s responsibility. Covers systems unknown at signature or installed later. OM-editable config text, SNAPSHOTTED per revision (a 2026 SOW shows its 2026 wording forever). Wording placeholder — flagged for legal review.</w:t>
            </w:r>
          </w:p>
        </w:tc>
      </w:tr>
      <w:tr>
        <w:tc>
          <w:tcPr/>
          <w:p>
            <w:pPr>
              <w:pStyle w:val="Compact"/>
              <w:jc w:val="left"/>
            </w:pPr>
            <w:r>
              <w:rPr>
                <w:bCs/>
                <w:b/>
              </w:rPr>
              <w:t xml:space="preserve">Liability-gap alert (NEW Rev 9)</w:t>
            </w:r>
          </w:p>
        </w:tc>
        <w:tc>
          <w:tcPr/>
          <w:p>
            <w:pPr>
              <w:pStyle w:val="Compact"/>
              <w:jc w:val="left"/>
            </w:pPr>
            <w:r>
              <w:t xml:space="preserve">An SE-flagged on-site system absent from the active SOW revision (neither in-scope nor excluded) raises an alert to the SL via the normal queue: confirm the provisional system, then either quote it (NC opportunity) or paper it as excluded in the next SOW revision.</w:t>
            </w:r>
          </w:p>
        </w:tc>
      </w:tr>
      <w:tr>
        <w:tc>
          <w:tcPr/>
          <w:p>
            <w:pPr>
              <w:pStyle w:val="Compact"/>
              <w:jc w:val="left"/>
            </w:pPr>
            <w:r>
              <w:rPr>
                <w:bCs/>
                <w:b/>
              </w:rPr>
              <w:t xml:space="preserve">One active SOW per site (Rev 9)</w:t>
            </w:r>
          </w:p>
        </w:tc>
        <w:tc>
          <w:tcPr/>
          <w:p>
            <w:pPr>
              <w:pStyle w:val="Compact"/>
              <w:jc w:val="left"/>
            </w:pPr>
            <w:r>
              <w:t xml:space="preserve">Universal — no exception for Cruise Ships; each boat is its own site with its own SOW. Fleet-level commercial relationships live in the group hierarchy and the Owning Company/Operator record, never as one SOW spanning sites.</w:t>
            </w:r>
          </w:p>
        </w:tc>
      </w:tr>
      <w:tr>
        <w:tc>
          <w:tcPr/>
          <w:p>
            <w:pPr>
              <w:pStyle w:val="Compact"/>
              <w:jc w:val="left"/>
            </w:pPr>
            <w:r>
              <w:rPr>
                <w:bCs/>
                <w:b/>
              </w:rPr>
              <w:t xml:space="preserve">Star rating</w:t>
            </w:r>
          </w:p>
        </w:tc>
        <w:tc>
          <w:tcPr/>
          <w:p>
            <w:pPr>
              <w:pStyle w:val="Compact"/>
              <w:jc w:val="left"/>
            </w:pPr>
            <w:r>
              <w:t xml:space="preserve">Displayed and snapshotted into the SOW at signature time (source of truth = property record, Section 2.2).</w:t>
            </w:r>
          </w:p>
        </w:tc>
      </w:tr>
      <w:tr>
        <w:tc>
          <w:tcPr/>
          <w:p>
            <w:pPr>
              <w:pStyle w:val="Compact"/>
              <w:jc w:val="left"/>
            </w:pPr>
            <w:r>
              <w:rPr>
                <w:bCs/>
                <w:b/>
              </w:rPr>
              <w:t xml:space="preserve">Out-of-scope testing (amended Rev 10)</w:t>
            </w:r>
          </w:p>
        </w:tc>
        <w:tc>
          <w:tcPr/>
          <w:p>
            <w:pPr>
              <w:pStyle w:val="Compact"/>
              <w:jc w:val="left"/>
            </w:pPr>
            <w:r>
              <w:t xml:space="preserve">SE CAN test systems not on SOW — restored to FULL strength after field validation (SE session): any excluded or provisional system is expandable on the visit form into the complete optional reading interface (same parameters, same config ranges, same range-snapshotting). Never mandatory; every such reading stamps out-of-scope = TRUE (scope status frozen at visit time — a later SOW revision never rewrites history). System does NOT block submission — flags to SL; readings render on the client report in a marked</w:t>
            </w:r>
            <w:r>
              <w:t xml:space="preserve"> </w:t>
            </w:r>
            <w:r>
              <w:t xml:space="preserve">‘</w:t>
            </w:r>
            <w:r>
              <w:t xml:space="preserve">NOT WITHIN SCOPE OF WORK</w:t>
            </w:r>
            <w:r>
              <w:t xml:space="preserve">’</w:t>
            </w:r>
            <w:r>
              <w:t xml:space="preserve"> </w:t>
            </w:r>
            <w:r>
              <w:t xml:space="preserve">section with an</w:t>
            </w:r>
            <w:r>
              <w:t xml:space="preserve"> </w:t>
            </w:r>
            <w:r>
              <w:rPr>
                <w:bCs/>
                <w:b/>
              </w:rPr>
              <w:t xml:space="preserve">information-only disclaimer</w:t>
            </w:r>
            <w:r>
              <w:t xml:space="preserve"> </w:t>
            </w:r>
            <w:r>
              <w:t xml:space="preserve">(OM-editable bilingual config text, snapshotted with the template like the catch-all clause — same legal review): readings are provided for information only and do not constitute treatment or responsibility. All alert rules apply identically — a chronic breach on an excluded system still fires to the SL, and recurring problems on an out-of-scope system are the loudest NC signal. (Evidence: Four Seasons San Stefano grew 3→8 systems — the out-of-scope readings record powered the expansion.)</w:t>
            </w:r>
          </w:p>
        </w:tc>
      </w:tr>
      <w:tr>
        <w:tc>
          <w:tcPr/>
          <w:p>
            <w:pPr>
              <w:pStyle w:val="Compact"/>
              <w:jc w:val="left"/>
            </w:pPr>
            <w:r>
              <w:rPr>
                <w:bCs/>
                <w:b/>
              </w:rPr>
              <w:t xml:space="preserve">Cruise Ships</w:t>
            </w:r>
          </w:p>
        </w:tc>
        <w:tc>
          <w:tcPr/>
          <w:p>
            <w:pPr>
              <w:pStyle w:val="Compact"/>
              <w:jc w:val="left"/>
            </w:pPr>
            <w:r>
              <w:t xml:space="preserve">Special SOW template required (tank-based, mobile systems, docking-schedule visit model) —</w:t>
            </w:r>
            <w:r>
              <w:t xml:space="preserve"> </w:t>
            </w:r>
            <w:r>
              <w:rPr>
                <w:bCs/>
                <w:b/>
              </w:rPr>
              <w:t xml:space="preserve">OPEN</w:t>
            </w:r>
            <w:r>
              <w:t xml:space="preserve">, still to be designed (open item 21).</w:t>
            </w:r>
          </w:p>
        </w:tc>
      </w:tr>
    </w:tbl>
    <w:bookmarkEnd w:id="34"/>
    <w:bookmarkStart w:id="35" w:name="three-sow-document-versions"/>
    <w:p>
      <w:pPr>
        <w:pStyle w:val="Heading2"/>
      </w:pPr>
      <w:r>
        <w:t xml:space="preserve">5.2 Three SOW Document Versions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Client Type A</w:t>
            </w:r>
          </w:p>
        </w:tc>
        <w:tc>
          <w:tcPr/>
          <w:p>
            <w:pPr>
              <w:pStyle w:val="Compact"/>
              <w:jc w:val="left"/>
            </w:pPr>
            <w:r>
              <w:t xml:space="preserve">Line-item costs: every system, analysis type, samples/visit, frequency, tests/year, cost/sample, line totals. For negotiation / full transparency.</w:t>
            </w:r>
          </w:p>
        </w:tc>
      </w:tr>
      <w:tr>
        <w:tc>
          <w:tcPr/>
          <w:p>
            <w:pPr>
              <w:pStyle w:val="Compact"/>
              <w:jc w:val="left"/>
            </w:pPr>
            <w:r>
              <w:rPr>
                <w:bCs/>
                <w:b/>
              </w:rPr>
              <w:t xml:space="preserve">Client Type B</w:t>
            </w:r>
          </w:p>
        </w:tc>
        <w:tc>
          <w:tcPr/>
          <w:p>
            <w:pPr>
              <w:pStyle w:val="Compact"/>
              <w:jc w:val="left"/>
            </w:pPr>
            <w:r>
              <w:t xml:space="preserve">Summary total only: systems covered, micro programme types + frequencies, single monthly fee + annual total. For GM sign-off.</w:t>
            </w:r>
          </w:p>
        </w:tc>
      </w:tr>
      <w:tr>
        <w:tc>
          <w:tcPr/>
          <w:p>
            <w:pPr>
              <w:pStyle w:val="Compact"/>
              <w:jc w:val="left"/>
            </w:pPr>
            <w:r>
              <w:rPr>
                <w:bCs/>
                <w:b/>
              </w:rPr>
              <w:t xml:space="preserve">Internal SOW</w:t>
            </w:r>
          </w:p>
        </w:tc>
        <w:tc>
          <w:tcPr/>
          <w:p>
            <w:pPr>
              <w:pStyle w:val="Compact"/>
              <w:jc w:val="left"/>
            </w:pPr>
            <w:r>
              <w:t xml:space="preserve">Full detail: per-system analysis costs, lab costs by test type, overhead/visit, income vs cost, net service income. ST staff only.</w:t>
            </w:r>
          </w:p>
        </w:tc>
      </w:tr>
    </w:tbl>
    <w:bookmarkEnd w:id="35"/>
    <w:bookmarkStart w:id="36" w:name="physical-data-fields-per-system-on-sow"/>
    <w:p>
      <w:pPr>
        <w:pStyle w:val="Heading2"/>
      </w:pPr>
      <w:r>
        <w:t xml:space="preserve">5.3 Physical Data Fields per System (on SOW)</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Swimming Pools</w:t>
            </w:r>
          </w:p>
        </w:tc>
        <w:tc>
          <w:tcPr/>
          <w:p>
            <w:pPr>
              <w:pStyle w:val="Compact"/>
              <w:jc w:val="left"/>
            </w:pPr>
            <w:r>
              <w:t xml:space="preserve">Volume m³ per pool + total per site, dimensions, turnover rate, bather load, last drain/refill date</w:t>
            </w:r>
          </w:p>
        </w:tc>
      </w:tr>
      <w:tr>
        <w:tc>
          <w:tcPr/>
          <w:p>
            <w:pPr>
              <w:pStyle w:val="Compact"/>
              <w:jc w:val="left"/>
            </w:pPr>
            <w:r>
              <w:rPr>
                <w:bCs/>
                <w:b/>
              </w:rPr>
              <w:t xml:space="preserve">Steam Boilers</w:t>
            </w:r>
          </w:p>
        </w:tc>
        <w:tc>
          <w:tcPr/>
          <w:p>
            <w:pPr>
              <w:pStyle w:val="Compact"/>
              <w:jc w:val="left"/>
            </w:pPr>
            <w:r>
              <w:t xml:space="preserve">Tons/hr capacity, pressure rating, fuel type, condensate return %</w:t>
            </w:r>
          </w:p>
        </w:tc>
      </w:tr>
      <w:tr>
        <w:tc>
          <w:tcPr/>
          <w:p>
            <w:pPr>
              <w:pStyle w:val="Compact"/>
              <w:jc w:val="left"/>
            </w:pPr>
            <w:r>
              <w:rPr>
                <w:bCs/>
                <w:b/>
              </w:rPr>
              <w:t xml:space="preserve">Cooling Towers</w:t>
            </w:r>
          </w:p>
        </w:tc>
        <w:tc>
          <w:tcPr/>
          <w:p>
            <w:pPr>
              <w:pStyle w:val="Compact"/>
              <w:jc w:val="left"/>
            </w:pPr>
            <w:r>
              <w:t xml:space="preserve">TR capacity, basin volume, last Legionella risk assessment date</w:t>
            </w:r>
          </w:p>
        </w:tc>
      </w:tr>
      <w:tr>
        <w:tc>
          <w:tcPr/>
          <w:p>
            <w:pPr>
              <w:pStyle w:val="Compact"/>
              <w:jc w:val="left"/>
            </w:pPr>
            <w:r>
              <w:rPr>
                <w:bCs/>
                <w:b/>
              </w:rPr>
              <w:t xml:space="preserve">Domestic Hot Water</w:t>
            </w:r>
          </w:p>
        </w:tc>
        <w:tc>
          <w:tcPr/>
          <w:p>
            <w:pPr>
              <w:pStyle w:val="Compact"/>
              <w:jc w:val="left"/>
            </w:pPr>
            <w:r>
              <w:t xml:space="preserve">Storage capacity, circulation loop, temperature monitoring points</w:t>
            </w:r>
          </w:p>
        </w:tc>
      </w:tr>
      <w:tr>
        <w:tc>
          <w:tcPr/>
          <w:p>
            <w:pPr>
              <w:pStyle w:val="Compact"/>
              <w:jc w:val="left"/>
            </w:pPr>
            <w:r>
              <w:rPr>
                <w:bCs/>
                <w:b/>
              </w:rPr>
              <w:t xml:space="preserve">Closed Systems</w:t>
            </w:r>
          </w:p>
        </w:tc>
        <w:tc>
          <w:tcPr/>
          <w:p>
            <w:pPr>
              <w:pStyle w:val="Compact"/>
              <w:jc w:val="left"/>
            </w:pPr>
            <w:r>
              <w:t xml:space="preserve">Volume, inhibitor type, last dosing date</w:t>
            </w:r>
          </w:p>
        </w:tc>
      </w:tr>
      <w:tr>
        <w:tc>
          <w:tcPr/>
          <w:p>
            <w:pPr>
              <w:pStyle w:val="Compact"/>
              <w:jc w:val="left"/>
            </w:pPr>
            <w:r>
              <w:rPr>
                <w:bCs/>
                <w:b/>
              </w:rPr>
              <w:t xml:space="preserve">Feed Tanks</w:t>
            </w:r>
          </w:p>
        </w:tc>
        <w:tc>
          <w:tcPr/>
          <w:p>
            <w:pPr>
              <w:pStyle w:val="Compact"/>
              <w:jc w:val="left"/>
            </w:pPr>
            <w:r>
              <w:t xml:space="preserve">Volume, material, last inspection date</w:t>
            </w:r>
          </w:p>
        </w:tc>
      </w:tr>
      <w:tr>
        <w:tc>
          <w:tcPr/>
          <w:p>
            <w:pPr>
              <w:pStyle w:val="Compact"/>
              <w:jc w:val="left"/>
            </w:pPr>
            <w:r>
              <w:rPr>
                <w:bCs/>
                <w:b/>
              </w:rPr>
              <w:t xml:space="preserve">All systems</w:t>
            </w:r>
          </w:p>
        </w:tc>
        <w:tc>
          <w:tcPr/>
          <w:p>
            <w:pPr>
              <w:pStyle w:val="Compact"/>
              <w:jc w:val="left"/>
            </w:pPr>
            <w:r>
              <w:t xml:space="preserve">Date fields trigger 30/60-day alerts. Multiple named units per system type supported (e.g. 10+ pools each tested independently).</w:t>
            </w:r>
          </w:p>
        </w:tc>
      </w:tr>
    </w:tbl>
    <w:bookmarkEnd w:id="36"/>
    <w:bookmarkStart w:id="37" w:name="micro-programme-section-part-of-sow"/>
    <w:p>
      <w:pPr>
        <w:pStyle w:val="Heading2"/>
      </w:pPr>
      <w:r>
        <w:t xml:space="preserve">5.4 Micro Programme Section (part of SOW)</w:t>
      </w:r>
    </w:p>
    <w:p>
      <w:pPr>
        <w:pStyle w:val="FirstParagraph"/>
      </w:pPr>
      <w:r>
        <w:t xml:space="preserve">Specifies WHAT is tested and HOW OFTEN. Sampling points are NOT in the SOW (logged in system at collection time, determined by the hotel’s Hygiene Department). Samples per visit are FIXED in the SOW; only the specific point sampled changes month to month.</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Analysis</w:t>
            </w:r>
          </w:p>
        </w:tc>
        <w:tc>
          <w:tcPr/>
          <w:p>
            <w:pPr>
              <w:pStyle w:val="Compact"/>
              <w:jc w:val="left"/>
            </w:pPr>
            <w:r>
              <w:rPr>
                <w:bCs/>
                <w:b/>
              </w:rPr>
              <w:t xml:space="preserve">System</w:t>
            </w:r>
          </w:p>
        </w:tc>
        <w:tc>
          <w:tcPr/>
          <w:p>
            <w:pPr>
              <w:pStyle w:val="Compact"/>
              <w:jc w:val="left"/>
            </w:pPr>
            <w:r>
              <w:rPr>
                <w:bCs/>
                <w:b/>
              </w:rPr>
              <w:t xml:space="preserve">Samples/Visit</w:t>
            </w:r>
          </w:p>
        </w:tc>
        <w:tc>
          <w:tcPr/>
          <w:p>
            <w:pPr>
              <w:pStyle w:val="Compact"/>
              <w:jc w:val="left"/>
            </w:pPr>
            <w:r>
              <w:rPr>
                <w:bCs/>
                <w:b/>
              </w:rPr>
              <w:t xml:space="preserve">Frequency</w:t>
            </w:r>
          </w:p>
        </w:tc>
        <w:tc>
          <w:tcPr/>
          <w:p>
            <w:pPr>
              <w:pStyle w:val="Compact"/>
              <w:jc w:val="left"/>
            </w:pPr>
            <w:r>
              <w:rPr>
                <w:bCs/>
                <w:b/>
              </w:rPr>
              <w:t xml:space="preserve">Tests/Year</w:t>
            </w:r>
          </w:p>
        </w:tc>
      </w:tr>
      <w:tr>
        <w:tc>
          <w:tcPr/>
          <w:p>
            <w:pPr>
              <w:pStyle w:val="Compact"/>
              <w:jc w:val="left"/>
            </w:pPr>
            <w:r>
              <w:t xml:space="preserve">Water Bacteriology</w:t>
            </w:r>
          </w:p>
        </w:tc>
        <w:tc>
          <w:tcPr/>
          <w:p>
            <w:pPr>
              <w:pStyle w:val="Compact"/>
              <w:jc w:val="left"/>
            </w:pPr>
            <w:r>
              <w:t xml:space="preserve">Pools</w:t>
            </w:r>
          </w:p>
        </w:tc>
        <w:tc>
          <w:tcPr/>
          <w:p>
            <w:pPr>
              <w:pStyle w:val="Compact"/>
              <w:jc w:val="left"/>
            </w:pPr>
            <w:r>
              <w:t xml:space="preserve">[n]</w:t>
            </w:r>
          </w:p>
        </w:tc>
        <w:tc>
          <w:tcPr/>
          <w:p>
            <w:pPr>
              <w:pStyle w:val="Compact"/>
              <w:jc w:val="left"/>
            </w:pPr>
            <w:r>
              <w:t xml:space="preserve">Monthly</w:t>
            </w:r>
          </w:p>
        </w:tc>
        <w:tc>
          <w:tcPr/>
          <w:p>
            <w:pPr>
              <w:pStyle w:val="Compact"/>
              <w:jc w:val="left"/>
            </w:pPr>
            <w:r>
              <w:t xml:space="preserve">[n×12]</w:t>
            </w:r>
          </w:p>
        </w:tc>
      </w:tr>
      <w:tr>
        <w:tc>
          <w:tcPr/>
          <w:p>
            <w:pPr>
              <w:pStyle w:val="Compact"/>
              <w:jc w:val="left"/>
            </w:pPr>
            <w:r>
              <w:t xml:space="preserve">Water Bacteriology</w:t>
            </w:r>
          </w:p>
        </w:tc>
        <w:tc>
          <w:tcPr/>
          <w:p>
            <w:pPr>
              <w:pStyle w:val="Compact"/>
              <w:jc w:val="left"/>
            </w:pPr>
            <w:r>
              <w:t xml:space="preserve">Mains Water</w:t>
            </w:r>
          </w:p>
        </w:tc>
        <w:tc>
          <w:tcPr/>
          <w:p>
            <w:pPr>
              <w:pStyle w:val="Compact"/>
              <w:jc w:val="left"/>
            </w:pPr>
            <w:r>
              <w:t xml:space="preserve">[n]</w:t>
            </w:r>
          </w:p>
        </w:tc>
        <w:tc>
          <w:tcPr/>
          <w:p>
            <w:pPr>
              <w:pStyle w:val="Compact"/>
              <w:jc w:val="left"/>
            </w:pPr>
            <w:r>
              <w:t xml:space="preserve">Monthly</w:t>
            </w:r>
          </w:p>
        </w:tc>
        <w:tc>
          <w:tcPr/>
          <w:p>
            <w:pPr>
              <w:pStyle w:val="Compact"/>
              <w:jc w:val="left"/>
            </w:pPr>
            <w:r>
              <w:t xml:space="preserve">[n×12]</w:t>
            </w:r>
          </w:p>
        </w:tc>
      </w:tr>
      <w:tr>
        <w:tc>
          <w:tcPr/>
          <w:p>
            <w:pPr>
              <w:pStyle w:val="Compact"/>
              <w:jc w:val="left"/>
            </w:pPr>
            <w:r>
              <w:t xml:space="preserve">Legionella</w:t>
            </w:r>
          </w:p>
        </w:tc>
        <w:tc>
          <w:tcPr/>
          <w:p>
            <w:pPr>
              <w:pStyle w:val="Compact"/>
              <w:jc w:val="left"/>
            </w:pPr>
            <w:r>
              <w:t xml:space="preserve">Per system</w:t>
            </w:r>
          </w:p>
        </w:tc>
        <w:tc>
          <w:tcPr/>
          <w:p>
            <w:pPr>
              <w:pStyle w:val="Compact"/>
              <w:jc w:val="left"/>
            </w:pPr>
            <w:r>
              <w:t xml:space="preserve">[n]</w:t>
            </w:r>
          </w:p>
        </w:tc>
        <w:tc>
          <w:tcPr/>
          <w:p>
            <w:pPr>
              <w:pStyle w:val="Compact"/>
              <w:jc w:val="left"/>
            </w:pPr>
            <w:r>
              <w:t xml:space="preserve">6-monthly / monthly</w:t>
            </w:r>
          </w:p>
        </w:tc>
        <w:tc>
          <w:tcPr/>
          <w:p>
            <w:pPr>
              <w:pStyle w:val="Compact"/>
              <w:jc w:val="left"/>
            </w:pPr>
            <w:r>
              <w:t xml:space="preserve">[n×2-12]</w:t>
            </w:r>
          </w:p>
        </w:tc>
      </w:tr>
      <w:tr>
        <w:tc>
          <w:tcPr/>
          <w:p>
            <w:pPr>
              <w:pStyle w:val="Compact"/>
              <w:jc w:val="left"/>
            </w:pPr>
            <w:r>
              <w:t xml:space="preserve">Protozoa &amp; Algae</w:t>
            </w:r>
          </w:p>
        </w:tc>
        <w:tc>
          <w:tcPr/>
          <w:p>
            <w:pPr>
              <w:pStyle w:val="Compact"/>
              <w:jc w:val="left"/>
            </w:pPr>
            <w:r>
              <w:t xml:space="preserve">Pools</w:t>
            </w:r>
          </w:p>
        </w:tc>
        <w:tc>
          <w:tcPr/>
          <w:p>
            <w:pPr>
              <w:pStyle w:val="Compact"/>
              <w:jc w:val="left"/>
            </w:pPr>
            <w:r>
              <w:t xml:space="preserve">[n]</w:t>
            </w:r>
          </w:p>
        </w:tc>
        <w:tc>
          <w:tcPr/>
          <w:p>
            <w:pPr>
              <w:pStyle w:val="Compact"/>
              <w:jc w:val="left"/>
            </w:pPr>
            <w:r>
              <w:t xml:space="preserve">Monthly</w:t>
            </w:r>
          </w:p>
        </w:tc>
        <w:tc>
          <w:tcPr/>
          <w:p>
            <w:pPr>
              <w:pStyle w:val="Compact"/>
              <w:jc w:val="left"/>
            </w:pPr>
            <w:r>
              <w:t xml:space="preserve">[n×12]</w:t>
            </w:r>
          </w:p>
        </w:tc>
      </w:tr>
      <w:tr>
        <w:tc>
          <w:tcPr/>
          <w:p>
            <w:pPr>
              <w:pStyle w:val="Compact"/>
              <w:jc w:val="left"/>
            </w:pPr>
            <w:r>
              <w:t xml:space="preserve">Food</w:t>
            </w:r>
          </w:p>
        </w:tc>
        <w:tc>
          <w:tcPr/>
          <w:p>
            <w:pPr>
              <w:pStyle w:val="Compact"/>
              <w:jc w:val="left"/>
            </w:pPr>
            <w:r>
              <w:t xml:space="preserve">Kitchen</w:t>
            </w:r>
          </w:p>
        </w:tc>
        <w:tc>
          <w:tcPr/>
          <w:p>
            <w:pPr>
              <w:pStyle w:val="Compact"/>
              <w:jc w:val="left"/>
            </w:pPr>
            <w:r>
              <w:t xml:space="preserve">[n]</w:t>
            </w:r>
          </w:p>
        </w:tc>
        <w:tc>
          <w:tcPr/>
          <w:p>
            <w:pPr>
              <w:pStyle w:val="Compact"/>
              <w:jc w:val="left"/>
            </w:pPr>
            <w:r>
              <w:t xml:space="preserve">Monthly</w:t>
            </w:r>
          </w:p>
        </w:tc>
        <w:tc>
          <w:tcPr/>
          <w:p>
            <w:pPr>
              <w:pStyle w:val="Compact"/>
              <w:jc w:val="left"/>
            </w:pPr>
            <w:r>
              <w:t xml:space="preserve">[n×12]</w:t>
            </w:r>
          </w:p>
        </w:tc>
      </w:tr>
      <w:tr>
        <w:tc>
          <w:tcPr/>
          <w:p>
            <w:pPr>
              <w:pStyle w:val="Compact"/>
              <w:jc w:val="left"/>
            </w:pPr>
            <w:r>
              <w:t xml:space="preserve">Swab</w:t>
            </w:r>
          </w:p>
        </w:tc>
        <w:tc>
          <w:tcPr/>
          <w:p>
            <w:pPr>
              <w:pStyle w:val="Compact"/>
              <w:jc w:val="left"/>
            </w:pPr>
            <w:r>
              <w:t xml:space="preserve">Kitchen/AC/Shower</w:t>
            </w:r>
          </w:p>
        </w:tc>
        <w:tc>
          <w:tcPr/>
          <w:p>
            <w:pPr>
              <w:pStyle w:val="Compact"/>
              <w:jc w:val="left"/>
            </w:pPr>
            <w:r>
              <w:t xml:space="preserve">[n]</w:t>
            </w:r>
          </w:p>
        </w:tc>
        <w:tc>
          <w:tcPr/>
          <w:p>
            <w:pPr>
              <w:pStyle w:val="Compact"/>
              <w:jc w:val="left"/>
            </w:pPr>
            <w:r>
              <w:t xml:space="preserve">Monthly</w:t>
            </w:r>
          </w:p>
        </w:tc>
        <w:tc>
          <w:tcPr/>
          <w:p>
            <w:pPr>
              <w:pStyle w:val="Compact"/>
              <w:jc w:val="left"/>
            </w:pPr>
            <w:r>
              <w:t xml:space="preserve">[n×12]</w:t>
            </w:r>
          </w:p>
        </w:tc>
      </w:tr>
    </w:tbl>
    <w:p>
      <w:pPr>
        <w:numPr>
          <w:ilvl w:val="0"/>
          <w:numId w:val="1003"/>
        </w:numPr>
        <w:pStyle w:val="Compact"/>
      </w:pPr>
      <w:r>
        <w:t xml:space="preserve">Annual lab cost auto-calculated: tests/year × cost/sample by analysis type. Feeds internal SOW net-income calc.</w:t>
      </w:r>
    </w:p>
    <w:bookmarkEnd w:id="37"/>
    <w:bookmarkEnd w:id="38"/>
    <w:bookmarkStart w:id="43" w:name="visit-form-parameter-monitoring"/>
    <w:p>
      <w:pPr>
        <w:pStyle w:val="Heading1"/>
      </w:pPr>
      <w:r>
        <w:t xml:space="preserve">6. Visit Form &amp; Parameter Monitoring</w:t>
      </w:r>
    </w:p>
    <w:p>
      <w:pPr>
        <w:pStyle w:val="FirstParagraph"/>
      </w:pPr>
      <w:r>
        <w:t xml:space="preserve">The standard service visit follows the Manual §5.2 flow — Prepare · Inspect &amp; test · Correct &amp; escalate · Communicate · Document · Opportunity scan · Close the loop — and the form is built to serve exactly that sequence (previous readings shown = Prepare; NC prompt = Opportunity scan; next action/owner/date = Close the loop).</w:t>
      </w:r>
    </w:p>
    <w:bookmarkStart w:id="39" w:name="visit-form-fields"/>
    <w:p>
      <w:pPr>
        <w:pStyle w:val="Heading2"/>
      </w:pPr>
      <w:r>
        <w:t xml:space="preserve">6.1 Visit Form Fields</w:t>
      </w:r>
    </w:p>
    <w:p>
      <w:pPr>
        <w:numPr>
          <w:ilvl w:val="0"/>
          <w:numId w:val="1004"/>
        </w:numPr>
      </w:pPr>
      <w:r>
        <w:t xml:space="preserve">One visit report covers the entire site (all systems in one form). SOW drives which systems appear.</w:t>
      </w:r>
    </w:p>
    <w:p>
      <w:pPr>
        <w:numPr>
          <w:ilvl w:val="0"/>
          <w:numId w:val="1004"/>
        </w:numPr>
      </w:pPr>
      <w:r>
        <w:rPr>
          <w:bCs/>
          <w:b/>
        </w:rPr>
        <w:t xml:space="preserve">Blind entry with the out-of-range exception (amended Rev 10).</w:t>
      </w:r>
      <w:r>
        <w:t xml:space="preserve"> </w:t>
      </w:r>
      <w:r>
        <w:t xml:space="preserve">Previous readings are NOT shown at entry when the immediately previous reading (by sequence) was in range — removing the anchoring/copying risk the identical-readings check exists for; the SE writes what the meter says. If the immediately previous reading was OUT OF RANGE or severity-flagged, the form shows its value, date, and the corrective action recorded — because that visit is remediation verification and the context is the point. The threshold is the immediately previous reading only (older breaches are monitored server-side by the chronic 3-of-6 rule). The</w:t>
      </w:r>
      <w:r>
        <w:t xml:space="preserve"> </w:t>
      </w:r>
      <w:r>
        <w:t xml:space="preserve">‘</w:t>
      </w:r>
      <w:r>
        <w:t xml:space="preserve">not critical</w:t>
      </w:r>
      <w:r>
        <w:t xml:space="preserve">’</w:t>
      </w:r>
      <w:r>
        <w:t xml:space="preserve"> </w:t>
      </w:r>
      <w:r>
        <w:t xml:space="preserve">friction gate is untouched — it still forces display of previous readings before the SE can confirm. Applies identically to out-of-scope readings. Entry-time display only: full history remains visible in review screens and reports, and all alert rules run on complete history server-side regardless of display.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SE personal observations</w:t>
            </w:r>
          </w:p>
        </w:tc>
        <w:tc>
          <w:tcPr/>
          <w:p>
            <w:pPr>
              <w:pStyle w:val="Compact"/>
              <w:jc w:val="left"/>
            </w:pPr>
            <w:r>
              <w:t xml:space="preserve">Optional but prominently prompted (OM: prompt, don’t enforce). Was zero across all 60 legacy reports.</w:t>
            </w:r>
          </w:p>
        </w:tc>
      </w:tr>
      <w:tr>
        <w:tc>
          <w:tcPr/>
          <w:p>
            <w:pPr>
              <w:pStyle w:val="Compact"/>
              <w:jc w:val="left"/>
            </w:pPr>
            <w:r>
              <w:rPr>
                <w:bCs/>
                <w:b/>
              </w:rPr>
              <w:t xml:space="preserve">‘</w:t>
            </w:r>
            <w:r>
              <w:rPr>
                <w:bCs/>
                <w:b/>
              </w:rPr>
              <w:t xml:space="preserve">********************Done by ST********************</w:t>
            </w:r>
            <w:r>
              <w:rPr>
                <w:bCs/>
                <w:b/>
              </w:rPr>
              <w:t xml:space="preserve">’</w:t>
            </w:r>
            <w:r>
              <w:t xml:space="preserve">** ****log**</w:t>
            </w:r>
          </w:p>
        </w:tc>
        <w:tc>
          <w:tcPr/>
          <w:p>
            <w:pPr>
              <w:pStyle w:val="Compact"/>
              <w:jc w:val="left"/>
            </w:pPr>
            <w:r>
              <w:t xml:space="preserve">Structured: system + action type + product + quantity. Optional but prominently prompted.</w:t>
            </w:r>
          </w:p>
        </w:tc>
      </w:tr>
      <w:tr>
        <w:tc>
          <w:tcPr/>
          <w:p>
            <w:pPr>
              <w:pStyle w:val="Compact"/>
              <w:jc w:val="left"/>
            </w:pPr>
            <w:r>
              <w:rPr>
                <w:bCs/>
                <w:b/>
              </w:rPr>
              <w:t xml:space="preserve">Chemical name</w:t>
            </w:r>
          </w:p>
        </w:tc>
        <w:tc>
          <w:tcPr/>
          <w:p>
            <w:pPr>
              <w:pStyle w:val="Compact"/>
              <w:jc w:val="left"/>
            </w:pPr>
            <w:r>
              <w:t xml:space="preserve">Always required. SE selects from product catalogue (1–3 options per system type).</w:t>
            </w:r>
          </w:p>
        </w:tc>
      </w:tr>
      <w:tr>
        <w:tc>
          <w:tcPr/>
          <w:p>
            <w:pPr>
              <w:pStyle w:val="Compact"/>
              <w:jc w:val="left"/>
            </w:pPr>
            <w:r>
              <w:rPr>
                <w:bCs/>
                <w:b/>
              </w:rPr>
              <w:t xml:space="preserve">Dose quantity</w:t>
            </w:r>
          </w:p>
        </w:tc>
        <w:tc>
          <w:tcPr/>
          <w:p>
            <w:pPr>
              <w:pStyle w:val="Compact"/>
              <w:jc w:val="left"/>
            </w:pPr>
            <w:r>
              <w:t xml:space="preserve">Optional but prompted. OM-configurable enforcement toggle.</w:t>
            </w:r>
          </w:p>
        </w:tc>
      </w:tr>
      <w:tr>
        <w:tc>
          <w:tcPr/>
          <w:p>
            <w:pPr>
              <w:pStyle w:val="Compact"/>
              <w:jc w:val="left"/>
            </w:pPr>
            <w:r>
              <w:rPr>
                <w:bCs/>
                <w:b/>
              </w:rPr>
              <w:t xml:space="preserve">CE feedback / occupancy</w:t>
            </w:r>
          </w:p>
        </w:tc>
        <w:tc>
          <w:tcPr/>
          <w:p>
            <w:pPr>
              <w:pStyle w:val="Compact"/>
              <w:jc w:val="left"/>
            </w:pPr>
            <w:r>
              <w:t xml:space="preserve">CE feedback field + hotel occupancy recorded per visit (occupancy contextualises consumption).</w:t>
            </w:r>
          </w:p>
        </w:tc>
      </w:tr>
      <w:tr>
        <w:tc>
          <w:tcPr/>
          <w:p>
            <w:pPr>
              <w:pStyle w:val="Compact"/>
              <w:jc w:val="left"/>
            </w:pPr>
            <w:r>
              <w:rPr>
                <w:bCs/>
                <w:b/>
              </w:rPr>
              <w:t xml:space="preserve">Visit time</w:t>
            </w:r>
          </w:p>
        </w:tc>
        <w:tc>
          <w:tcPr/>
          <w:p>
            <w:pPr>
              <w:pStyle w:val="Compact"/>
              <w:jc w:val="left"/>
            </w:pPr>
            <w:r>
              <w:t xml:space="preserve">Validated 06:00–22:00. Outside hours requires emergency confirmation.</w:t>
            </w:r>
          </w:p>
        </w:tc>
      </w:tr>
      <w:tr>
        <w:tc>
          <w:tcPr/>
          <w:p>
            <w:pPr>
              <w:pStyle w:val="Compact"/>
              <w:jc w:val="left"/>
            </w:pPr>
            <w:r>
              <w:rPr>
                <w:bCs/>
                <w:b/>
              </w:rPr>
              <w:t xml:space="preserve">CE/Attention field</w:t>
            </w:r>
          </w:p>
        </w:tc>
        <w:tc>
          <w:tcPr/>
          <w:p>
            <w:pPr>
              <w:pStyle w:val="Compact"/>
              <w:jc w:val="left"/>
            </w:pPr>
            <w:r>
              <w:t xml:space="preserve">Validated before submission — cannot submit without a named contact.</w:t>
            </w:r>
          </w:p>
        </w:tc>
      </w:tr>
      <w:tr>
        <w:tc>
          <w:tcPr/>
          <w:p>
            <w:pPr>
              <w:pStyle w:val="Compact"/>
              <w:jc w:val="left"/>
            </w:pPr>
            <w:r>
              <w:rPr>
                <w:bCs/>
                <w:b/>
              </w:rPr>
              <w:t xml:space="preserve">SE mobile number</w:t>
            </w:r>
          </w:p>
        </w:tc>
        <w:tc>
          <w:tcPr/>
          <w:p>
            <w:pPr>
              <w:pStyle w:val="Compact"/>
              <w:jc w:val="left"/>
            </w:pPr>
            <w:r>
              <w:t xml:space="preserve">Must appear on the client report so the CE can reach the engineer. Was blank in 100% of legacy reports — now a required field.</w:t>
            </w:r>
          </w:p>
        </w:tc>
      </w:tr>
      <w:tr>
        <w:tc>
          <w:tcPr/>
          <w:p>
            <w:pPr>
              <w:pStyle w:val="Compact"/>
              <w:jc w:val="left"/>
            </w:pPr>
            <w:r>
              <w:rPr>
                <w:bCs/>
                <w:b/>
              </w:rPr>
              <w:t xml:space="preserve">Identical readings check</w:t>
            </w:r>
          </w:p>
        </w:tc>
        <w:tc>
          <w:tcPr/>
          <w:p>
            <w:pPr>
              <w:pStyle w:val="Compact"/>
              <w:jc w:val="left"/>
            </w:pPr>
            <w:r>
              <w:t xml:space="preserve">Built, strict. Multiple units with identical readings → SE must confirm each tested independently.</w:t>
            </w:r>
          </w:p>
        </w:tc>
      </w:tr>
      <w:tr>
        <w:tc>
          <w:tcPr/>
          <w:p>
            <w:pPr>
              <w:pStyle w:val="Compact"/>
              <w:jc w:val="left"/>
            </w:pPr>
            <w:r>
              <w:rPr>
                <w:bCs/>
                <w:b/>
              </w:rPr>
              <w:t xml:space="preserve">‘</w:t>
            </w:r>
            <w:r>
              <w:rPr>
                <w:bCs/>
                <w:b/>
              </w:rPr>
              <w:t xml:space="preserve">********************Good control********************</w:t>
            </w:r>
            <w:r>
              <w:rPr>
                <w:bCs/>
                <w:b/>
              </w:rPr>
              <w:t xml:space="preserve">’</w:t>
            </w:r>
            <w:r>
              <w:t xml:space="preserve">** ****text**</w:t>
            </w:r>
          </w:p>
        </w:tc>
        <w:tc>
          <w:tcPr/>
          <w:p>
            <w:pPr>
              <w:pStyle w:val="Compact"/>
              <w:jc w:val="left"/>
            </w:pPr>
            <w:r>
              <w:t xml:space="preserve">Within-range results show</w:t>
            </w:r>
            <w:r>
              <w:t xml:space="preserve"> </w:t>
            </w:r>
            <w:r>
              <w:t xml:space="preserve">‘</w:t>
            </w:r>
            <w:r>
              <w:t xml:space="preserve">Good control</w:t>
            </w:r>
            <w:r>
              <w:t xml:space="preserve">’</w:t>
            </w:r>
            <w:r>
              <w:t xml:space="preserve"> </w:t>
            </w:r>
            <w:r>
              <w:t xml:space="preserve">— not a blank. Client sees explicit positive confirmation.</w:t>
            </w:r>
          </w:p>
        </w:tc>
      </w:tr>
      <w:tr>
        <w:tc>
          <w:tcPr/>
          <w:p>
            <w:pPr>
              <w:pStyle w:val="Compact"/>
              <w:jc w:val="left"/>
            </w:pPr>
            <w:r>
              <w:rPr>
                <w:bCs/>
                <w:b/>
              </w:rPr>
              <w:t xml:space="preserve">Blank test</w:t>
            </w:r>
          </w:p>
        </w:tc>
        <w:tc>
          <w:tcPr/>
          <w:p>
            <w:pPr>
              <w:pStyle w:val="Compact"/>
              <w:jc w:val="left"/>
            </w:pPr>
            <w:r>
              <w:t xml:space="preserve">Must be explicitly logged</w:t>
            </w:r>
            <w:r>
              <w:t xml:space="preserve"> </w:t>
            </w:r>
            <w:r>
              <w:t xml:space="preserve">‘</w:t>
            </w:r>
            <w:r>
              <w:t xml:space="preserve">not tested</w:t>
            </w:r>
            <w:r>
              <w:t xml:space="preserve">’</w:t>
            </w:r>
            <w:r>
              <w:t xml:space="preserve"> </w:t>
            </w:r>
            <w:r>
              <w:t xml:space="preserve">with a reason. Blank ≠ zero ≠ not applicable.</w:t>
            </w:r>
          </w:p>
        </w:tc>
      </w:tr>
      <w:tr>
        <w:tc>
          <w:tcPr/>
          <w:p>
            <w:pPr>
              <w:pStyle w:val="Compact"/>
              <w:jc w:val="left"/>
            </w:pPr>
            <w:r>
              <w:rPr>
                <w:bCs/>
                <w:b/>
              </w:rPr>
              <w:t xml:space="preserve">Same-day submission</w:t>
            </w:r>
          </w:p>
        </w:tc>
        <w:tc>
          <w:tcPr/>
          <w:p>
            <w:pPr>
              <w:pStyle w:val="Compact"/>
              <w:jc w:val="left"/>
            </w:pPr>
            <w:r>
              <w:t xml:space="preserve">Prompted, not blocked. Late submissions flagged for SL visibility. Same-day = same Egypt-local calendar day.</w:t>
            </w:r>
          </w:p>
        </w:tc>
      </w:tr>
      <w:tr>
        <w:tc>
          <w:tcPr/>
          <w:p>
            <w:pPr>
              <w:pStyle w:val="Compact"/>
              <w:jc w:val="left"/>
            </w:pPr>
            <w:r>
              <w:rPr>
                <w:bCs/>
                <w:b/>
              </w:rPr>
              <w:t xml:space="preserve">NC scan — every visit (restored Gap 5a)</w:t>
            </w:r>
          </w:p>
        </w:tc>
        <w:tc>
          <w:tcPr/>
          <w:p>
            <w:pPr>
              <w:pStyle w:val="Compact"/>
              <w:jc w:val="left"/>
            </w:pPr>
            <w:r>
              <w:t xml:space="preserve">The NC opportunity prompt appears on EVERY visit, not just stable ones — instability can be the best NC opening. Lightweight: 2–5 minute scan, one-line opportunity note if something is spotted (creates a Prospect-stage opportunity, Section 10.5). Prompt-not-enforce.</w:t>
            </w:r>
          </w:p>
        </w:tc>
      </w:tr>
    </w:tbl>
    <w:bookmarkEnd w:id="39"/>
    <w:bookmarkStart w:id="40" w:name="visit-lifecycle"/>
    <w:p>
      <w:pPr>
        <w:pStyle w:val="Heading2"/>
      </w:pPr>
      <w:r>
        <w:t xml:space="preserve">6.2 Visit Lifecycle</w:t>
      </w:r>
    </w:p>
    <w:p>
      <w:pPr>
        <w:pStyle w:val="FirstParagraph"/>
      </w:pPr>
      <w:r>
        <w:rPr>
          <w:bCs/>
          <w:b/>
        </w:rPr>
        <w:t xml:space="preserve">(Amended Rev 9 — six states.)</w:t>
      </w:r>
      <w:r>
        <w:t xml:space="preserve"> </w:t>
      </w:r>
      <w:r>
        <w:t xml:space="preserve">Draft → Submitted → (Returned → Submitted)* → Approved → Report Generated → Report Dispatched.</w:t>
      </w:r>
    </w:p>
    <w:p>
      <w:pPr>
        <w:numPr>
          <w:ilvl w:val="0"/>
          <w:numId w:val="1005"/>
        </w:numPr>
      </w:pPr>
      <w:r>
        <w:rPr>
          <w:bCs/>
          <w:b/>
        </w:rPr>
        <w:t xml:space="preserve">Returned is a distinct state</w:t>
      </w:r>
      <w:r>
        <w:t xml:space="preserve">, not a loop to Draft: it carries a return-reason (the SE must see why) and a return-count (a repeatedly-returned visit is a coaching signal). Returned → Submitted on resubmission; reason and count retained. Returned visits cannot generate reports.</w:t>
      </w:r>
    </w:p>
    <w:p>
      <w:pPr>
        <w:numPr>
          <w:ilvl w:val="0"/>
          <w:numId w:val="1005"/>
        </w:numPr>
      </w:pPr>
      <w:r>
        <w:rPr>
          <w:bCs/>
          <w:b/>
        </w:rPr>
        <w:t xml:space="preserve">Report generation is split from dispatch.</w:t>
      </w:r>
      <w:r>
        <w:t xml:space="preserve"> </w:t>
      </w:r>
      <w:r>
        <w:t xml:space="preserve">Report Generated = the document exists and enters the Mode A/B queue; Report Dispatched = released to the client with WhatsApp + email timestamps. The Mode A/B hold lives in the gap between them; the fast-track safety alert fires as a dispatch AHEAD of the full report (Section 9).</w:t>
      </w:r>
    </w:p>
    <w:p>
      <w:pPr>
        <w:numPr>
          <w:ilvl w:val="0"/>
          <w:numId w:val="1005"/>
        </w:numPr>
      </w:pPr>
      <w:r>
        <w:t xml:space="preserve">Once approved + report generated, the visit is permanently locked — corrections require a NEW visit (protects audit trail); the corrected visit generates a NEW report that supersedes the original, which is retained and marked superseded (Rev 9).</w:t>
      </w:r>
    </w:p>
    <w:bookmarkEnd w:id="40"/>
    <w:bookmarkStart w:id="41" w:name="Xadb1ea0291b5537fc4ce100a1f0a7b48c19d8c0"/>
    <w:p>
      <w:pPr>
        <w:pStyle w:val="Heading2"/>
      </w:pPr>
      <w:r>
        <w:t xml:space="preserve">6.3 Parameter Alert Rules (by visit sequence, not calendar time)</w:t>
      </w:r>
    </w:p>
    <w:p>
      <w:pPr>
        <w:pStyle w:val="FirstParagraph"/>
      </w:pPr>
      <w:r>
        <w:rPr>
          <w:bCs/>
          <w:b/>
        </w:rPr>
        <w:t xml:space="preserve">Range-based only (restored Gap 5b):</w:t>
      </w:r>
      <w:r>
        <w:t xml:space="preserve"> </w:t>
      </w:r>
      <w:r>
        <w:t xml:space="preserve">out-of-range means outside the configured min/max — NEVER</w:t>
      </w:r>
      <w:r>
        <w:t xml:space="preserve"> </w:t>
      </w:r>
      <w:r>
        <w:t xml:space="preserve">“</w:t>
      </w:r>
      <w:r>
        <w:t xml:space="preserve">% deviation from the client’s own average</w:t>
      </w:r>
      <w:r>
        <w:t xml:space="preserve">”</w:t>
      </w:r>
      <w:r>
        <w:t xml:space="preserve">. No statistical-deviation rule may be added; it would generate noise alerts on legitimately variable readings.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Rule</w:t>
            </w:r>
          </w:p>
        </w:tc>
        <w:tc>
          <w:tcPr/>
          <w:p>
            <w:pPr>
              <w:pStyle w:val="Compact"/>
              <w:jc w:val="left"/>
            </w:pPr>
            <w:r>
              <w:rPr>
                <w:bCs/>
                <w:b/>
              </w:rPr>
              <w:t xml:space="preserve">Action</w:t>
            </w:r>
          </w:p>
        </w:tc>
      </w:tr>
      <w:tr>
        <w:tc>
          <w:tcPr/>
          <w:p>
            <w:pPr>
              <w:pStyle w:val="Compact"/>
              <w:jc w:val="left"/>
            </w:pPr>
            <w:r>
              <w:rPr>
                <w:bCs/>
                <w:b/>
              </w:rPr>
              <w:t xml:space="preserve">2 consecutive OOR</w:t>
            </w:r>
          </w:p>
        </w:tc>
        <w:tc>
          <w:tcPr/>
          <w:p>
            <w:pPr>
              <w:pStyle w:val="Compact"/>
              <w:jc w:val="left"/>
            </w:pPr>
            <w:r>
              <w:t xml:space="preserve">SE + SL alert. SE documents corrective action.</w:t>
            </w:r>
          </w:p>
        </w:tc>
      </w:tr>
      <w:tr>
        <w:tc>
          <w:tcPr/>
          <w:p>
            <w:pPr>
              <w:pStyle w:val="Compact"/>
              <w:jc w:val="left"/>
            </w:pPr>
            <w:r>
              <w:rPr>
                <w:bCs/>
                <w:b/>
              </w:rPr>
              <w:t xml:space="preserve">3 consecutive OOR</w:t>
            </w:r>
          </w:p>
        </w:tc>
        <w:tc>
          <w:tcPr/>
          <w:p>
            <w:pPr>
              <w:pStyle w:val="Compact"/>
              <w:jc w:val="left"/>
            </w:pPr>
            <w:r>
              <w:t xml:space="preserve">Immediate SL + OM escalation. Overrides ALL other thresholds. Treatment programme review.</w:t>
            </w:r>
          </w:p>
        </w:tc>
      </w:tr>
      <w:tr>
        <w:tc>
          <w:tcPr/>
          <w:p>
            <w:pPr>
              <w:pStyle w:val="Compact"/>
              <w:jc w:val="left"/>
            </w:pPr>
            <w:r>
              <w:rPr>
                <w:bCs/>
                <w:b/>
              </w:rPr>
              <w:t xml:space="preserve">3 of last 6 OOR</w:t>
            </w:r>
          </w:p>
        </w:tc>
        <w:tc>
          <w:tcPr/>
          <w:p>
            <w:pPr>
              <w:pStyle w:val="Compact"/>
              <w:jc w:val="left"/>
            </w:pPr>
            <w:r>
              <w:t xml:space="preserve">Chronic breach — SE + SL. SL documents root cause. Threshold OM-adjustable per system (default 3/6).</w:t>
            </w:r>
          </w:p>
        </w:tc>
      </w:tr>
      <w:tr>
        <w:tc>
          <w:tcPr/>
          <w:p>
            <w:pPr>
              <w:pStyle w:val="Compact"/>
              <w:jc w:val="left"/>
            </w:pPr>
            <w:r>
              <w:rPr>
                <w:bCs/>
                <w:b/>
              </w:rPr>
              <w:t xml:space="preserve">Trend 3+ toward limit</w:t>
            </w:r>
          </w:p>
        </w:tc>
        <w:tc>
          <w:tcPr/>
          <w:p>
            <w:pPr>
              <w:pStyle w:val="Compact"/>
              <w:jc w:val="left"/>
            </w:pPr>
            <w:r>
              <w:t xml:space="preserve">Predictive SE warning (still in range, heading to breach). On SL dashboard.</w:t>
            </w:r>
          </w:p>
        </w:tc>
      </w:tr>
      <w:tr>
        <w:tc>
          <w:tcPr/>
          <w:p>
            <w:pPr>
              <w:pStyle w:val="Compact"/>
              <w:jc w:val="left"/>
            </w:pPr>
            <w:r>
              <w:rPr>
                <w:bCs/>
                <w:b/>
              </w:rPr>
              <w:t xml:space="preserve">&gt;2× limit</w:t>
            </w:r>
          </w:p>
        </w:tc>
        <w:tc>
          <w:tcPr/>
          <w:p>
            <w:pPr>
              <w:pStyle w:val="Compact"/>
              <w:jc w:val="left"/>
            </w:pPr>
            <w:r>
              <w:t xml:space="preserve">Severity multiplier — higher priority than standard breach.</w:t>
            </w:r>
          </w:p>
        </w:tc>
      </w:tr>
      <w:tr>
        <w:tc>
          <w:tcPr/>
          <w:p>
            <w:pPr>
              <w:pStyle w:val="Compact"/>
              <w:jc w:val="left"/>
            </w:pPr>
            <w:r>
              <w:rPr>
                <w:bCs/>
                <w:b/>
              </w:rPr>
              <w:t xml:space="preserve">Zero inhibitor</w:t>
            </w:r>
          </w:p>
        </w:tc>
        <w:tc>
          <w:tcPr/>
          <w:p>
            <w:pPr>
              <w:pStyle w:val="Compact"/>
              <w:jc w:val="left"/>
            </w:pPr>
            <w:r>
              <w:t xml:space="preserve">Highest priority flag. Action must specify product + quantity. Depends on CORRECTED inhibitor flags per the Parameter Flag Anomaly Review (companion document with OM — Section 16.4).</w:t>
            </w:r>
          </w:p>
        </w:tc>
      </w:tr>
      <w:tr>
        <w:tc>
          <w:tcPr/>
          <w:p>
            <w:pPr>
              <w:pStyle w:val="Compact"/>
              <w:jc w:val="left"/>
            </w:pPr>
            <w:r>
              <w:rPr>
                <w:bCs/>
                <w:b/>
              </w:rPr>
              <w:t xml:space="preserve">‘</w:t>
            </w:r>
            <w:r>
              <w:rPr>
                <w:bCs/>
                <w:b/>
              </w:rPr>
              <w:t xml:space="preserve">********************Not critical********************</w:t>
            </w:r>
            <w:r>
              <w:rPr>
                <w:bCs/>
                <w:b/>
              </w:rPr>
              <w:t xml:space="preserve">’</w:t>
            </w:r>
            <w:r>
              <w:t xml:space="preserve">** ****status**</w:t>
            </w:r>
          </w:p>
        </w:tc>
        <w:tc>
          <w:tcPr/>
          <w:p>
            <w:pPr>
              <w:pStyle w:val="Compact"/>
              <w:jc w:val="left"/>
            </w:pPr>
            <w:r>
              <w:t xml:space="preserve">System shows previous readings first. If 2+ consecutive OOR, SE must escalate or document justification.</w:t>
            </w:r>
          </w:p>
        </w:tc>
      </w:tr>
      <w:tr>
        <w:tc>
          <w:tcPr/>
          <w:p>
            <w:pPr>
              <w:pStyle w:val="Compact"/>
              <w:jc w:val="left"/>
            </w:pPr>
            <w:r>
              <w:rPr>
                <w:bCs/>
                <w:b/>
              </w:rPr>
              <w:t xml:space="preserve">‘</w:t>
            </w:r>
            <w:r>
              <w:rPr>
                <w:bCs/>
                <w:b/>
              </w:rPr>
              <w:t xml:space="preserve">********************Monitor********************</w:t>
            </w:r>
            <w:r>
              <w:rPr>
                <w:bCs/>
                <w:b/>
              </w:rPr>
              <w:t xml:space="preserve">’</w:t>
            </w:r>
            <w:r>
              <w:t xml:space="preserve">** ****status**</w:t>
            </w:r>
          </w:p>
        </w:tc>
        <w:tc>
          <w:tcPr/>
          <w:p>
            <w:pPr>
              <w:pStyle w:val="Compact"/>
              <w:jc w:val="left"/>
            </w:pPr>
            <w:r>
              <w:t xml:space="preserve">Must specify condition + threshold. Bare</w:t>
            </w:r>
            <w:r>
              <w:t xml:space="preserve"> </w:t>
            </w:r>
            <w:r>
              <w:t xml:space="preserve">‘</w:t>
            </w:r>
            <w:r>
              <w:t xml:space="preserve">Please monitor</w:t>
            </w:r>
            <w:r>
              <w:t xml:space="preserve">’</w:t>
            </w:r>
            <w:r>
              <w:t xml:space="preserve"> </w:t>
            </w:r>
            <w:r>
              <w:t xml:space="preserve">eliminated.</w:t>
            </w:r>
          </w:p>
        </w:tc>
      </w:tr>
      <w:tr>
        <w:tc>
          <w:tcPr/>
          <w:p>
            <w:pPr>
              <w:pStyle w:val="Compact"/>
              <w:jc w:val="left"/>
            </w:pPr>
            <w:r>
              <w:rPr>
                <w:bCs/>
                <w:b/>
              </w:rPr>
              <w:t xml:space="preserve">Failed remediation</w:t>
            </w:r>
          </w:p>
        </w:tc>
        <w:tc>
          <w:tcPr/>
          <w:p>
            <w:pPr>
              <w:pStyle w:val="Compact"/>
              <w:jc w:val="left"/>
            </w:pPr>
            <w:r>
              <w:t xml:space="preserve">Same action 3+ consecutive visits, no improvement → blocks resubmission, forces SL escalation.</w:t>
            </w:r>
          </w:p>
        </w:tc>
      </w:tr>
      <w:tr>
        <w:tc>
          <w:tcPr/>
          <w:p>
            <w:pPr>
              <w:pStyle w:val="Compact"/>
              <w:jc w:val="left"/>
            </w:pPr>
            <w:r>
              <w:rPr>
                <w:bCs/>
                <w:b/>
              </w:rPr>
              <w:t xml:space="preserve">Branch regional alert</w:t>
            </w:r>
          </w:p>
        </w:tc>
        <w:tc>
          <w:tcPr/>
          <w:p>
            <w:pPr>
              <w:pStyle w:val="Compact"/>
              <w:jc w:val="left"/>
            </w:pPr>
            <w:r>
              <w:t xml:space="preserve">Same parameter OOR at 3+ clients, same branch, same week → SL + OM regional flag.</w:t>
            </w:r>
          </w:p>
        </w:tc>
      </w:tr>
    </w:tbl>
    <w:bookmarkEnd w:id="41"/>
    <w:bookmarkStart w:id="42" w:name="chlorine-consumption-metric"/>
    <w:p>
      <w:pPr>
        <w:pStyle w:val="Heading2"/>
      </w:pPr>
      <w:r>
        <w:t xml:space="preserve">6.4 Chlorine Consumption Metric</w:t>
      </w:r>
    </w:p>
    <w:p>
      <w:pPr>
        <w:numPr>
          <w:ilvl w:val="0"/>
          <w:numId w:val="1006"/>
        </w:numPr>
        <w:pStyle w:val="Compact"/>
      </w:pPr>
      <w:r>
        <w:t xml:space="preserve">Tracked per pool: kg bought ÷ pool volume m³. ST Online stores chlorine kg per client.</w:t>
      </w:r>
    </w:p>
    <w:bookmarkEnd w:id="42"/>
    <w:bookmarkEnd w:id="43"/>
    <w:bookmarkStart w:id="44" w:name="reports-dispatch"/>
    <w:p>
      <w:pPr>
        <w:pStyle w:val="Heading1"/>
      </w:pPr>
      <w:r>
        <w:t xml:space="preserve">9. Reports &amp; Dispatch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Channels</w:t>
            </w:r>
          </w:p>
        </w:tc>
        <w:tc>
          <w:tcPr/>
          <w:p>
            <w:pPr>
              <w:pStyle w:val="Compact"/>
              <w:jc w:val="left"/>
            </w:pPr>
            <w:r>
              <w:t xml:space="preserve">Central WhatsApp Business number AND email — both, every time. WhatsApp = immediacy + timestamps; email = record.</w:t>
            </w:r>
          </w:p>
        </w:tc>
      </w:tr>
      <w:tr>
        <w:tc>
          <w:tcPr/>
          <w:p>
            <w:pPr>
              <w:pStyle w:val="Compact"/>
              <w:jc w:val="left"/>
            </w:pPr>
            <w:r>
              <w:rPr>
                <w:bCs/>
                <w:b/>
              </w:rPr>
              <w:t xml:space="preserve">Mode B (default)</w:t>
            </w:r>
          </w:p>
        </w:tc>
        <w:tc>
          <w:tcPr/>
          <w:p>
            <w:pPr>
              <w:pStyle w:val="Compact"/>
              <w:jc w:val="left"/>
            </w:pPr>
            <w:r>
              <w:t xml:space="preserve">All reports held in SL review queue before sending. All branches start here (Marsa Alam already de facto).</w:t>
            </w:r>
          </w:p>
        </w:tc>
      </w:tr>
      <w:tr>
        <w:tc>
          <w:tcPr/>
          <w:p>
            <w:pPr>
              <w:pStyle w:val="Compact"/>
              <w:jc w:val="left"/>
            </w:pPr>
            <w:r>
              <w:rPr>
                <w:bCs/>
                <w:b/>
              </w:rPr>
              <w:t xml:space="preserve">Mode A</w:t>
            </w:r>
          </w:p>
        </w:tc>
        <w:tc>
          <w:tcPr/>
          <w:p>
            <w:pPr>
              <w:pStyle w:val="Compact"/>
              <w:jc w:val="left"/>
            </w:pPr>
            <w:r>
              <w:t xml:space="preserve">Routine reports auto-send; only out-of-range require SL approval. Requires JOINT SL + OM activation — neither alone.</w:t>
            </w:r>
          </w:p>
        </w:tc>
      </w:tr>
      <w:tr>
        <w:tc>
          <w:tcPr/>
          <w:p>
            <w:pPr>
              <w:pStyle w:val="Compact"/>
              <w:jc w:val="left"/>
            </w:pPr>
            <w:r>
              <w:rPr>
                <w:bCs/>
                <w:b/>
              </w:rPr>
              <w:t xml:space="preserve">Exceptions</w:t>
            </w:r>
          </w:p>
        </w:tc>
        <w:tc>
          <w:tcPr/>
          <w:p>
            <w:pPr>
              <w:pStyle w:val="Compact"/>
              <w:jc w:val="left"/>
            </w:pPr>
            <w:r>
              <w:t xml:space="preserve">Always require SL approval in both modes. Critical (Legionella) always notify OM.</w:t>
            </w:r>
          </w:p>
        </w:tc>
      </w:tr>
      <w:tr>
        <w:tc>
          <w:tcPr/>
          <w:p>
            <w:pPr>
              <w:pStyle w:val="Compact"/>
              <w:jc w:val="left"/>
            </w:pPr>
            <w:r>
              <w:rPr>
                <w:bCs/>
                <w:b/>
              </w:rPr>
              <w:t xml:space="preserve">Proactive safety alerts (LOCKED, v2.0 — restored Gap 3a)</w:t>
            </w:r>
          </w:p>
        </w:tc>
        <w:tc>
          <w:tcPr/>
          <w:p>
            <w:pPr>
              <w:pStyle w:val="Compact"/>
              <w:jc w:val="left"/>
            </w:pPr>
            <w:r>
              <w:t xml:space="preserve">Qualifying critical findings (Legionella risk, positive micro result, zero disinfectant, safety breach — OM-editable list) enter a flagged</w:t>
            </w:r>
            <w:r>
              <w:t xml:space="preserve"> </w:t>
            </w:r>
            <w:r>
              <w:rPr>
                <w:bCs/>
                <w:b/>
              </w:rPr>
              <w:t xml:space="preserve">same-day fast-track queue</w:t>
            </w:r>
            <w:r>
              <w:t xml:space="preserve">: the alert pushes to the CE’s phone immediately on SL approval, bypassing the normal report cycle. Unreviewed fast-track alerts escalate to OM within an OM-set window (HOURS, not the standard report window). Proof case: Cleopatra Luxury — DHW pH 6.70 with Legionella risk, report sent 16 days late under the old system.</w:t>
            </w:r>
          </w:p>
        </w:tc>
      </w:tr>
      <w:tr>
        <w:tc>
          <w:tcPr/>
          <w:p>
            <w:pPr>
              <w:pStyle w:val="Compact"/>
              <w:jc w:val="left"/>
            </w:pPr>
            <w:r>
              <w:rPr>
                <w:bCs/>
                <w:b/>
              </w:rPr>
              <w:t xml:space="preserve">Report artifact (NEW Rev 9)</w:t>
            </w:r>
          </w:p>
        </w:tc>
        <w:tc>
          <w:tcPr/>
          <w:p>
            <w:pPr>
              <w:pStyle w:val="Compact"/>
              <w:jc w:val="left"/>
            </w:pPr>
            <w:r>
              <w:t xml:space="preserve">The report is a STORED, versioned artifact generated at Report Generated — not a live render. One-to-one with the visit, immutable, snapshotting its template version (a 2026 report renders under the 2026 template even after a redesign). The copy the client received is retrievable byte-for-byte forever. Corrections produce a new superseding report; the original is retained, marked superseded.</w:t>
            </w:r>
          </w:p>
        </w:tc>
      </w:tr>
      <w:tr>
        <w:tc>
          <w:tcPr/>
          <w:p>
            <w:pPr>
              <w:pStyle w:val="Compact"/>
              <w:jc w:val="left"/>
            </w:pPr>
            <w:r>
              <w:rPr>
                <w:bCs/>
                <w:b/>
              </w:rPr>
              <w:t xml:space="preserve">Dispatch grain (NEW Rev 9)</w:t>
            </w:r>
          </w:p>
        </w:tc>
        <w:tc>
          <w:tcPr/>
          <w:p>
            <w:pPr>
              <w:pStyle w:val="Compact"/>
              <w:jc w:val="left"/>
            </w:pPr>
            <w:r>
              <w:t xml:space="preserve">One dispatch record per CHANNEL per RECIPIENT (report, channel, recipient contact, send timestamp, delivery status queued/sent/delivered/failed). Dual-channel failures are individually visible to the SL —</w:t>
            </w:r>
            <w:r>
              <w:t xml:space="preserve"> </w:t>
            </w:r>
            <w:r>
              <w:t xml:space="preserve">‘</w:t>
            </w:r>
            <w:r>
              <w:t xml:space="preserve">we sent it</w:t>
            </w:r>
            <w:r>
              <w:t xml:space="preserve">’</w:t>
            </w:r>
            <w:r>
              <w:t xml:space="preserve"> </w:t>
            </w:r>
            <w:r>
              <w:t xml:space="preserve">must be defensible. Recipients resolve from the site’s report-recipient-flagged contacts at dispatch time and are permanently recorded. The fast-track safety alert is an EARLY dispatch record against a critical result — same structure, no special path.</w:t>
            </w:r>
          </w:p>
        </w:tc>
      </w:tr>
      <w:tr>
        <w:tc>
          <w:tcPr/>
          <w:p>
            <w:pPr>
              <w:pStyle w:val="Compact"/>
              <w:jc w:val="left"/>
            </w:pPr>
            <w:r>
              <w:rPr>
                <w:bCs/>
                <w:b/>
              </w:rPr>
              <w:t xml:space="preserve">Escalation</w:t>
            </w:r>
          </w:p>
        </w:tc>
        <w:tc>
          <w:tcPr/>
          <w:p>
            <w:pPr>
              <w:pStyle w:val="Compact"/>
              <w:jc w:val="left"/>
            </w:pPr>
            <w:r>
              <w:t xml:space="preserve">Unreviewed standard report after OM-set window → OM notification.</w:t>
            </w:r>
          </w:p>
        </w:tc>
      </w:tr>
      <w:tr>
        <w:tc>
          <w:tcPr/>
          <w:p>
            <w:pPr>
              <w:pStyle w:val="Compact"/>
              <w:jc w:val="left"/>
            </w:pPr>
            <w:r>
              <w:rPr>
                <w:bCs/>
                <w:b/>
              </w:rPr>
              <w:t xml:space="preserve">Lifecycle</w:t>
            </w:r>
          </w:p>
        </w:tc>
        <w:tc>
          <w:tcPr/>
          <w:p>
            <w:pPr>
              <w:pStyle w:val="Compact"/>
              <w:jc w:val="left"/>
            </w:pPr>
            <w:r>
              <w:t xml:space="preserve">Timestamped: visit submitted / approved / report generated / dispatched / client issued.</w:t>
            </w:r>
            <w:r>
              <w:t xml:space="preserve"> </w:t>
            </w:r>
            <w:r>
              <w:rPr>
                <w:bCs/>
                <w:b/>
              </w:rPr>
              <w:t xml:space="preserve">Client-issued is DERIVED (Rev 9)</w:t>
            </w:r>
            <w:r>
              <w:t xml:space="preserve">: the first successful dispatch to a report-recipient contact — well-defined, cannot drift.</w:t>
            </w:r>
          </w:p>
        </w:tc>
      </w:tr>
      <w:tr>
        <w:tc>
          <w:tcPr/>
          <w:p>
            <w:pPr>
              <w:pStyle w:val="Compact"/>
              <w:jc w:val="left"/>
            </w:pPr>
            <w:r>
              <w:rPr>
                <w:bCs/>
                <w:b/>
              </w:rPr>
              <w:t xml:space="preserve">Language (ruled Rev 9)</w:t>
            </w:r>
          </w:p>
        </w:tc>
        <w:tc>
          <w:tcPr/>
          <w:p>
            <w:pPr>
              <w:pStyle w:val="Compact"/>
              <w:jc w:val="left"/>
            </w:pPr>
            <w:r>
              <w:t xml:space="preserve">Bilingual AR/EN, three treatments: (1) config labels stored PAIRED (_en/_ar) — parameters, system types, templates, clauses, headings; (2) report output furniture is ENGLISH for v2.0, held as a site-level preference defaulting to English (not hardcoded — Arabic furniture is a setting flip, not a release); (3) user free text stored AS-TYPED in its own language, direction-tagged, rendered VERBATIM — an English report faithfully carries an Arabic SE remark as Arabic. NO auto-translation of any user content. Consequence for the tech stack (open item 19): the report generator must render RTL Arabic runs inside an LTR English layout — a selection criterion, not a late surprise.</w:t>
            </w:r>
          </w:p>
        </w:tc>
      </w:tr>
      <w:tr>
        <w:tc>
          <w:tcPr/>
          <w:p>
            <w:pPr>
              <w:pStyle w:val="Compact"/>
              <w:jc w:val="left"/>
            </w:pPr>
            <w:r>
              <w:rPr>
                <w:bCs/>
                <w:b/>
              </w:rPr>
              <w:t xml:space="preserve">Client report</w:t>
            </w:r>
          </w:p>
        </w:tc>
        <w:tc>
          <w:tcPr/>
          <w:p>
            <w:pPr>
              <w:pStyle w:val="Compact"/>
              <w:jc w:val="left"/>
            </w:pPr>
            <w:r>
              <w:t xml:space="preserve">The weakest link in the current system — must be dramatically improved. Redesign around the 7 pillars = pending (open item 17), with the skeleton REQUIRED to be structured so the v2.1 Compliance Pack (Section 18.3) drops in without restructuring.</w:t>
            </w:r>
          </w:p>
        </w:tc>
      </w:tr>
    </w:tbl>
    <w:bookmarkEnd w:id="44"/>
    <w:bookmarkStart w:id="45" w:name="flag-system-tech-rel-com-strat"/>
    <w:p>
      <w:pPr>
        <w:pStyle w:val="Heading1"/>
      </w:pPr>
      <w:r>
        <w:t xml:space="preserve">12. Flag System (TECH / REL / COM / STRAT)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Daily flags</w:t>
            </w:r>
          </w:p>
        </w:tc>
        <w:tc>
          <w:tcPr/>
          <w:p>
            <w:pPr>
              <w:pStyle w:val="Compact"/>
              <w:jc w:val="left"/>
            </w:pPr>
            <w:r>
              <w:t xml:space="preserve">Each client flagged daily by SE with up to 5 items tagged TECH / REL / COM / STRAT. Feed the internal MOM agenda.</w:t>
            </w:r>
          </w:p>
        </w:tc>
      </w:tr>
      <w:tr>
        <w:tc>
          <w:tcPr/>
          <w:p>
            <w:pPr>
              <w:pStyle w:val="Compact"/>
              <w:jc w:val="left"/>
            </w:pPr>
            <w:r>
              <w:rPr>
                <w:bCs/>
                <w:b/>
              </w:rPr>
              <w:t xml:space="preserve">TECH (auto)</w:t>
            </w:r>
          </w:p>
        </w:tc>
        <w:tc>
          <w:tcPr/>
          <w:p>
            <w:pPr>
              <w:pStyle w:val="Compact"/>
              <w:jc w:val="left"/>
            </w:pPr>
            <w:r>
              <w:t xml:space="preserve">Auto-suggested: OOR parameter, repeated corrective action, consumption anomaly, expiring date fields (Legionella assessment, drain/refill).</w:t>
            </w:r>
          </w:p>
        </w:tc>
      </w:tr>
      <w:tr>
        <w:tc>
          <w:tcPr/>
          <w:p>
            <w:pPr>
              <w:pStyle w:val="Compact"/>
              <w:jc w:val="left"/>
            </w:pPr>
            <w:r>
              <w:rPr>
                <w:bCs/>
                <w:b/>
              </w:rPr>
              <w:t xml:space="preserve">COM (auto)</w:t>
            </w:r>
          </w:p>
        </w:tc>
        <w:tc>
          <w:tcPr/>
          <w:p>
            <w:pPr>
              <w:pStyle w:val="Compact"/>
              <w:jc w:val="left"/>
            </w:pPr>
            <w:r>
              <w:t xml:space="preserve">Auto-suggested from commercial metrics. The trigger rules ship with the commercial engine (Stage 2 specification); Stage 1 builds the flag record and manual raising only.</w:t>
            </w:r>
          </w:p>
        </w:tc>
      </w:tr>
      <w:tr>
        <w:tc>
          <w:tcPr/>
          <w:p>
            <w:pPr>
              <w:pStyle w:val="Compact"/>
              <w:jc w:val="left"/>
            </w:pPr>
            <w:r>
              <w:rPr>
                <w:bCs/>
                <w:b/>
              </w:rPr>
              <w:t xml:space="preserve">REL (prompted)</w:t>
            </w:r>
          </w:p>
        </w:tc>
        <w:tc>
          <w:tcPr/>
          <w:p>
            <w:pPr>
              <w:pStyle w:val="Compact"/>
              <w:jc w:val="left"/>
            </w:pPr>
            <w:r>
              <w:t xml:space="preserve">Cannot auto-detect. System prompts:</w:t>
            </w:r>
            <w:r>
              <w:t xml:space="preserve"> </w:t>
            </w:r>
            <w:r>
              <w:t xml:space="preserve">‘</w:t>
            </w:r>
            <w:r>
              <w:t xml:space="preserve">No CE feedback in last 2 visits — anything to flag?</w:t>
            </w:r>
            <w:r>
              <w:t xml:space="preserve">’</w:t>
            </w:r>
            <w:r>
              <w:t xml:space="preserve"> </w:t>
            </w:r>
            <w:r>
              <w:t xml:space="preserve">SE adds manually.</w:t>
            </w:r>
          </w:p>
        </w:tc>
      </w:tr>
      <w:tr>
        <w:tc>
          <w:tcPr/>
          <w:p>
            <w:pPr>
              <w:pStyle w:val="Compact"/>
              <w:jc w:val="left"/>
            </w:pPr>
            <w:r>
              <w:rPr>
                <w:bCs/>
                <w:b/>
              </w:rPr>
              <w:t xml:space="preserve">STRAT (manual)</w:t>
            </w:r>
          </w:p>
        </w:tc>
        <w:tc>
          <w:tcPr/>
          <w:p>
            <w:pPr>
              <w:pStyle w:val="Compact"/>
              <w:jc w:val="left"/>
            </w:pPr>
            <w:r>
              <w:t xml:space="preserve">Human judgment. SE adds for flagship accounts / strategic situations.</w:t>
            </w:r>
          </w:p>
        </w:tc>
      </w:tr>
      <w:tr>
        <w:tc>
          <w:tcPr/>
          <w:p>
            <w:pPr>
              <w:pStyle w:val="Compact"/>
              <w:jc w:val="left"/>
            </w:pPr>
            <w:r>
              <w:rPr>
                <w:bCs/>
                <w:b/>
              </w:rPr>
              <w:t xml:space="preserve">SL watchlist</w:t>
            </w:r>
          </w:p>
        </w:tc>
        <w:tc>
          <w:tcPr/>
          <w:p>
            <w:pPr>
              <w:pStyle w:val="Compact"/>
              <w:jc w:val="left"/>
            </w:pPr>
            <w:r>
              <w:t xml:space="preserve">SL maintains branch red/yellow account watchlist + top-10 NC opportunities list.</w:t>
            </w:r>
          </w:p>
        </w:tc>
      </w:tr>
    </w:tbl>
    <w:bookmarkEnd w:id="45"/>
    <w:bookmarkStart w:id="50" w:name="water-system-templates-parameters"/>
    <w:p>
      <w:pPr>
        <w:pStyle w:val="Heading1"/>
      </w:pPr>
      <w:r>
        <w:t xml:space="preserve">16. Water System Templates &amp; Parameters</w:t>
      </w:r>
    </w:p>
    <w:bookmarkStart w:id="46" w:name="existing-systems-16-om-review"/>
    <w:p>
      <w:pPr>
        <w:pStyle w:val="Heading2"/>
      </w:pPr>
      <w:r>
        <w:t xml:space="preserve">16.1 Existing Systems (16) + OM Review</w:t>
      </w:r>
    </w:p>
    <w:p>
      <w:pPr>
        <w:numPr>
          <w:ilvl w:val="0"/>
          <w:numId w:val="1007"/>
        </w:numPr>
      </w:pPr>
      <w:r>
        <w:t xml:space="preserve">16 systems: Swimming Pool, Jacuzzi, Fountain, Lake, Cooling Tower, Steam Boiler, Domestic Hot Water, Domestic Cold Water, Closed Chilled, Hot Closed, Feed Tank, Mains Water, Mains Filtered Water, Water Softener, Condensate Return, Nile Boat Pre-treatment.</w:t>
      </w:r>
    </w:p>
    <w:p>
      <w:pPr>
        <w:numPr>
          <w:ilvl w:val="0"/>
          <w:numId w:val="1007"/>
        </w:numPr>
      </w:pPr>
      <w:r>
        <w:t xml:space="preserve">OM reviewed 60 parameters: 33 APPROVE, 18 REJECT, 10 MODIFY. OM rewrote production-quality text for Cooling Tower (6, incl. Legionella linked to free chlorine), Steam Boiler (Conductivity + P Alkalinity), Mains Water (Free Chlorine).</w:t>
      </w:r>
    </w:p>
    <w:p>
      <w:pPr>
        <w:numPr>
          <w:ilvl w:val="0"/>
          <w:numId w:val="1007"/>
        </w:numPr>
      </w:pPr>
      <w:r>
        <w:t xml:space="preserve">Build-ready Parameter Specification produced and verified against source templates: 16 systems,</w:t>
      </w:r>
      <w:r>
        <w:t xml:space="preserve"> </w:t>
      </w:r>
      <w:r>
        <w:rPr>
          <w:bCs/>
          <w:b/>
        </w:rPr>
        <w:t xml:space="preserve">127 parameters</w:t>
      </w:r>
      <w:r>
        <w:t xml:space="preserve"> </w:t>
      </w:r>
      <w:r>
        <w:t xml:space="preserve">(counts match every source .xls exactly), ranges/comments/actions, inhibitor + required flags, OM modifications incorporated.</w:t>
      </w:r>
    </w:p>
    <w:bookmarkEnd w:id="46"/>
    <w:bookmarkStart w:id="47" w:name="new-systems-om-decisions"/>
    <w:p>
      <w:pPr>
        <w:pStyle w:val="Heading2"/>
      </w:pPr>
      <w:r>
        <w:t xml:space="preserve">16.2 New Systems (OM decisions)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INCLUDE</w:t>
            </w:r>
          </w:p>
        </w:tc>
        <w:tc>
          <w:tcPr/>
          <w:p>
            <w:pPr>
              <w:pStyle w:val="Compact"/>
              <w:jc w:val="left"/>
            </w:pPr>
            <w:r>
              <w:t xml:space="preserve">B3 Kitchen &amp; Bar Water (ice machines/POU/coffee) · B4 Irrigation &amp; Landscaping · B5 Water Features / Lobby Water Walls (</w:t>
            </w:r>
            <w:r>
              <w:t xml:space="preserve">‘</w:t>
            </w:r>
            <w:r>
              <w:t xml:space="preserve">Indoor</w:t>
            </w:r>
            <w:r>
              <w:t xml:space="preserve">’</w:t>
            </w:r>
            <w:r>
              <w:t xml:space="preserve"> </w:t>
            </w:r>
            <w:r>
              <w:t xml:space="preserve">removed — covers all water features, absorbs old Fountain + Lake).</w:t>
            </w:r>
          </w:p>
        </w:tc>
      </w:tr>
      <w:tr>
        <w:tc>
          <w:tcPr/>
          <w:p>
            <w:pPr>
              <w:pStyle w:val="Compact"/>
              <w:jc w:val="left"/>
            </w:pPr>
            <w:r>
              <w:rPr>
                <w:bCs/>
                <w:b/>
              </w:rPr>
              <w:t xml:space="preserve">EXCLUDE for now</w:t>
            </w:r>
          </w:p>
        </w:tc>
        <w:tc>
          <w:tcPr/>
          <w:p>
            <w:pPr>
              <w:pStyle w:val="Compact"/>
              <w:jc w:val="left"/>
            </w:pPr>
            <w:r>
              <w:t xml:space="preserve">B1 Steam Room/Hammam · B2 Ice Fountain · B6 Fire Sprinkler · B7 Rainwater/Greywater · B8 Pool Backwash/Balance Tank.</w:t>
            </w:r>
          </w:p>
        </w:tc>
      </w:tr>
      <w:tr>
        <w:tc>
          <w:tcPr/>
          <w:p>
            <w:pPr>
              <w:pStyle w:val="Compact"/>
              <w:jc w:val="left"/>
            </w:pPr>
            <w:r>
              <w:rPr>
                <w:bCs/>
                <w:b/>
              </w:rPr>
              <w:t xml:space="preserve">Extensibility</w:t>
            </w:r>
          </w:p>
        </w:tc>
        <w:tc>
          <w:tcPr/>
          <w:p>
            <w:pPr>
              <w:pStyle w:val="Compact"/>
              <w:jc w:val="left"/>
            </w:pPr>
            <w:r>
              <w:t xml:space="preserve">System MUST allow OM to add new system types via configuration (not code). B1, B2, B7 expected later; industrial system types arrive in v2.1 the same way. B3/B4/B5 parameter sets still to be drafted + sent to OM.</w:t>
            </w:r>
          </w:p>
        </w:tc>
      </w:tr>
    </w:tbl>
    <w:bookmarkEnd w:id="47"/>
    <w:bookmarkStart w:id="48" w:name="key-template-rules"/>
    <w:p>
      <w:pPr>
        <w:pStyle w:val="Heading2"/>
      </w:pPr>
      <w:r>
        <w:t xml:space="preserve">16.3 Key Template Rules</w:t>
      </w:r>
    </w:p>
    <w:p>
      <w:pPr>
        <w:numPr>
          <w:ilvl w:val="0"/>
          <w:numId w:val="1008"/>
        </w:numPr>
      </w:pPr>
      <w:r>
        <w:t xml:space="preserve">Out-of-service ranges: boilers, cooling towers, pools have different thresholds when out of service. Visit form asks in-service/out-of-service before recording.</w:t>
      </w:r>
    </w:p>
    <w:p>
      <w:pPr>
        <w:numPr>
          <w:ilvl w:val="0"/>
          <w:numId w:val="1008"/>
        </w:numPr>
      </w:pPr>
      <w:r>
        <w:t xml:space="preserve">Analysis costs embedded per template; CRM auto-calculates lab cost per visit; OM-updatable with 12-month mandatory review.</w:t>
      </w:r>
    </w:p>
    <w:p>
      <w:pPr>
        <w:numPr>
          <w:ilvl w:val="0"/>
          <w:numId w:val="1008"/>
        </w:numPr>
      </w:pPr>
      <w:r>
        <w:t xml:space="preserve">All parameter values (ranges, comments, actions, costs, flags) are OM-editable config tables read at runtime. Nothing hardcoded.</w:t>
      </w:r>
    </w:p>
    <w:p>
      <w:pPr>
        <w:numPr>
          <w:ilvl w:val="0"/>
          <w:numId w:val="1008"/>
        </w:numPr>
      </w:pPr>
      <w:r>
        <w:rPr>
          <w:bCs/>
          <w:b/>
        </w:rPr>
        <w:t xml:space="preserve">Open-ended ranges supported day one:</w:t>
      </w:r>
      <w:r>
        <w:t xml:space="preserve"> </w:t>
      </w:r>
      <w:r>
        <w:t xml:space="preserve">min-only and max-only ranges exist in the source data (Boiler OH Alkalinity 200–, Tannin 120–, Condensate Return 30% min, Feed Tank Temperature 70–) — the data model supports them natively.</w:t>
      </w:r>
    </w:p>
    <w:p>
      <w:pPr>
        <w:numPr>
          <w:ilvl w:val="0"/>
          <w:numId w:val="1008"/>
        </w:numPr>
      </w:pPr>
      <w:r>
        <w:rPr>
          <w:bCs/>
          <w:b/>
        </w:rPr>
        <w:t xml:space="preserve">D3 Mains Water sub-types — RESOLVED (LOCKED):</w:t>
      </w:r>
      <w:r>
        <w:t xml:space="preserve"> </w:t>
      </w:r>
      <w:r>
        <w:t xml:space="preserve">the multi-range-per-source</w:t>
      </w:r>
      <w:r>
        <w:t xml:space="preserve"> </w:t>
      </w:r>
      <w:r>
        <w:rPr>
          <w:bCs/>
          <w:b/>
        </w:rPr>
        <w:t xml:space="preserve">architecture is built</w:t>
      </w:r>
      <w:r>
        <w:t xml:space="preserve"> </w:t>
      </w:r>
      <w:r>
        <w:t xml:space="preserve">(range sets keyed by water source — also serves boilers’ city-vs-RO logic), but</w:t>
      </w:r>
      <w:r>
        <w:t xml:space="preserve"> </w:t>
      </w:r>
      <w:r>
        <w:rPr>
          <w:bCs/>
          <w:b/>
        </w:rPr>
        <w:t xml:space="preserve">Mains Water launches with a single range set</w:t>
      </w:r>
      <w:r>
        <w:t xml:space="preserve"> </w:t>
      </w:r>
      <w:r>
        <w:t xml:space="preserve">applied to all sources. Sub-type (Municipal / RO / Well / Desalination) is a LABEL + context explanation for persistent target misses. RO/desalination negative LSI is known/managed; not productising RO remediation. Negative LSI warning persists every visit. Changing to per-source ranges later = config change, not rebuild.</w:t>
      </w:r>
    </w:p>
    <w:bookmarkEnd w:id="48"/>
    <w:bookmarkStart w:id="49" w:name="X486f8367f895b52c0d3362450b34e1cca09b7df"/>
    <w:p>
      <w:pPr>
        <w:pStyle w:val="Heading2"/>
      </w:pPr>
      <w:r>
        <w:t xml:space="preserve">16.4 Parameter Flag Anomaly Review — CLOSED (Rev 11)</w:t>
      </w:r>
    </w:p>
    <w:p>
      <w:pPr>
        <w:pStyle w:val="FirstParagraph"/>
      </w:pPr>
      <w:r>
        <w:t xml:space="preserve">Both rounds returned and absorbed. Outcomes now binding, recorded in</w:t>
      </w:r>
      <w:r>
        <w:t xml:space="preserve"> </w:t>
      </w:r>
      <w:r>
        <w:rPr>
          <w:bCs/>
          <w:b/>
        </w:rPr>
        <w:t xml:space="preserve">Parameter Specification Rev 2</w:t>
      </w:r>
      <w:r>
        <w:t xml:space="preserve"> </w:t>
      </w:r>
      <w:r>
        <w:t xml:space="preserve">(the single config-load source):</w:t>
      </w:r>
      <w:r>
        <w:t xml:space="preserve"> </w:t>
      </w:r>
      <w:r>
        <w:rPr>
          <w:bCs/>
          <w:b/>
        </w:rPr>
        <w:t xml:space="preserve">5 inhibitor flags added</w:t>
      </w:r>
      <w:r>
        <w:t xml:space="preserve"> </w:t>
      </w:r>
      <w:r>
        <w:t xml:space="preserve">(Boiler Sulfite &amp; Phosphate, CT Ortho-Phosphate, Nitrite in both closed systems — the zero-inhibitor rule now fires where it was designed to) ·</w:t>
      </w:r>
      <w:r>
        <w:t xml:space="preserve"> </w:t>
      </w:r>
      <w:r>
        <w:rPr>
          <w:bCs/>
          <w:b/>
        </w:rPr>
        <w:t xml:space="preserve">23 flags removed</w:t>
      </w:r>
      <w:r>
        <w:t xml:space="preserve"> </w:t>
      </w:r>
      <w:r>
        <w:t xml:space="preserve">·</w:t>
      </w:r>
      <w:r>
        <w:t xml:space="preserve"> </w:t>
      </w:r>
      <w:r>
        <w:rPr>
          <w:bCs/>
          <w:b/>
        </w:rPr>
        <w:t xml:space="preserve">3 kept</w:t>
      </w:r>
      <w:r>
        <w:t xml:space="preserve"> </w:t>
      </w:r>
      <w:r>
        <w:t xml:space="preserve">(CT + Water Features Free Chlorine — Legionella logic) · ranges: CT Chloride 0–400, Boiler P Alkalinity 100–300, DCW TDS 100–1000, Mains Water &amp; Mains Filtered Calcium Hardness 0–350, Mains Turbidity 0–5.0 NTU, Turbidity Out 0–1.0 ·</w:t>
      </w:r>
      <w:r>
        <w:t xml:space="preserve"> </w:t>
      </w:r>
      <w:r>
        <w:rPr>
          <w:bCs/>
          <w:b/>
        </w:rPr>
        <w:t xml:space="preserve">Copper reassigned Steam Boiler → Condensate Return</w:t>
      </w:r>
      <w:r>
        <w:t xml:space="preserve"> </w:t>
      </w:r>
      <w:r>
        <w:t xml:space="preserve">·</w:t>
      </w:r>
      <w:r>
        <w:t xml:space="preserve"> </w:t>
      </w:r>
      <w:r>
        <w:rPr>
          <w:bCs/>
          <w:b/>
        </w:rPr>
        <w:t xml:space="preserve">Hot Closed LSI deleted</w:t>
      </w:r>
      <w:r>
        <w:t xml:space="preserve"> </w:t>
      </w:r>
      <w:r>
        <w:t xml:space="preserve">·</w:t>
      </w:r>
      <w:r>
        <w:t xml:space="preserve"> </w:t>
      </w:r>
      <w:r>
        <w:rPr>
          <w:bCs/>
          <w:b/>
        </w:rPr>
        <w:t xml:space="preserve">Water Features</w:t>
      </w:r>
      <w:r>
        <w:t xml:space="preserve"> </w:t>
      </w:r>
      <w:r>
        <w:t xml:space="preserve">(B5, ex-Fountain/Lake) inherits the SWIMMING POOL configuration for Free Chlorine, pH and Cyanuric Acid (limits, comments, actions; Free Chlorine keeps ● per the A2 ruling) · Feed Tank M Alkalinity → no-limit reference · Boiler Conductivity Required with the TDS blowdown logic ·</w:t>
      </w:r>
      <w:r>
        <w:t xml:space="preserve"> </w:t>
      </w:r>
      <w:r>
        <w:t xml:space="preserve">‘</w:t>
      </w:r>
      <w:r>
        <w:t xml:space="preserve">Required + reference</w:t>
      </w:r>
      <w:r>
        <w:t xml:space="preserve">’</w:t>
      </w:r>
      <w:r>
        <w:t xml:space="preserve"> </w:t>
      </w:r>
      <w:r>
        <w:t xml:space="preserve">= record every visit, no alert (ratified via the No-limit rulings).</w:t>
      </w:r>
    </w:p>
    <w:p>
      <w:pPr>
        <w:pStyle w:val="BodyText"/>
      </w:pPr>
      <w:r>
        <w:rPr>
          <w:bCs/>
          <w:b/>
        </w:rPr>
        <w:t xml:space="preserve">Three design mechanisms (Rev 11, config-layer — zero schema change):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Unit attributes + conditional variants</w:t>
            </w:r>
          </w:p>
        </w:tc>
        <w:tc>
          <w:tcPr/>
          <w:p>
            <w:pPr>
              <w:pStyle w:val="Compact"/>
              <w:jc w:val="left"/>
            </w:pPr>
            <w:r>
              <w:t xml:space="preserve">CT / Hot Closed / Mains Water units carry</w:t>
            </w:r>
            <w:r>
              <w:t xml:space="preserve"> </w:t>
            </w:r>
            <w:r>
              <w:t xml:space="preserve">‘</w:t>
            </w:r>
            <w:r>
              <w:t xml:space="preserve">feed water softened Y/N</w:t>
            </w:r>
            <w:r>
              <w:t xml:space="preserve">’</w:t>
            </w:r>
            <w:r>
              <w:t xml:space="preserve"> </w:t>
            </w:r>
            <w:r>
              <w:t xml:space="preserve">(Mains also</w:t>
            </w:r>
            <w:r>
              <w:t xml:space="preserve"> </w:t>
            </w:r>
            <w:r>
              <w:t xml:space="preserve">‘</w:t>
            </w:r>
            <w:r>
              <w:t xml:space="preserve">filtration installed Y/N</w:t>
            </w:r>
            <w:r>
              <w:t xml:space="preserve">’</w:t>
            </w:r>
            <w:r>
              <w:t xml:space="preserve">), set once at unit capture — a site softener does not imply this unit’s feed is softened. Comment/action variants key on the attribute and auto-select on the form;</w:t>
            </w:r>
            <w:r>
              <w:t xml:space="preserve"> </w:t>
            </w:r>
            <w:r>
              <w:t xml:space="preserve">‘</w:t>
            </w:r>
            <w:r>
              <w:t xml:space="preserve">install equipment</w:t>
            </w:r>
            <w:r>
              <w:t xml:space="preserve">’</w:t>
            </w:r>
            <w:r>
              <w:t xml:space="preserve"> </w:t>
            </w:r>
            <w:r>
              <w:t xml:space="preserve">variants auto-create a Prospect-stage NC opportunity. The attributes feed the §8.7 installed-base map (e.g. every CT on unsoftened makeup = pre-qualified softener campaign list).</w:t>
            </w:r>
          </w:p>
        </w:tc>
      </w:tr>
      <w:tr>
        <w:tc>
          <w:tcPr/>
          <w:p>
            <w:pPr>
              <w:pStyle w:val="Compact"/>
              <w:jc w:val="left"/>
            </w:pPr>
            <w:r>
              <w:rPr>
                <w:bCs/>
                <w:b/>
              </w:rPr>
              <w:t xml:space="preserve">Treatment program per tower</w:t>
            </w:r>
          </w:p>
        </w:tc>
        <w:tc>
          <w:tcPr/>
          <w:p>
            <w:pPr>
              <w:pStyle w:val="Compact"/>
              <w:jc w:val="left"/>
            </w:pPr>
            <w:r>
              <w:t xml:space="preserve">CT units: oxidizing / non-oxidizing. Non-oxidizing (manufacturer prohibits chlorine/bromine — copper condenser corrosion) switches Free Chlorine to record-only reference; Legionella verification testing covers those towers. Reuses the range-set-per-context architecture.</w:t>
            </w:r>
          </w:p>
        </w:tc>
      </w:tr>
      <w:tr>
        <w:tc>
          <w:tcPr/>
          <w:p>
            <w:pPr>
              <w:pStyle w:val="Compact"/>
              <w:jc w:val="left"/>
            </w:pPr>
            <w:r>
              <w:rPr>
                <w:bCs/>
                <w:b/>
              </w:rPr>
              <w:t xml:space="preserve">COC calculated parameter</w:t>
            </w:r>
          </w:p>
        </w:tc>
        <w:tc>
          <w:tcPr/>
          <w:p>
            <w:pPr>
              <w:pStyle w:val="Compact"/>
              <w:jc w:val="left"/>
            </w:pPr>
            <w:r>
              <w:t xml:space="preserve">COC = CT Chloride ÷ Chloride (In) [new makeup parameter], computed same-visit within the unit. Range 2.0–6.0 (OM); exact target per makeup source (desalinated vs Nile) via source-keyed range sets — the D3 architecture paying off again. CT CaH/Conductivity/TDS and Boiler Chloride stay record-only; Boiler TDS is the boiler’s concentration proxy.</w:t>
            </w:r>
          </w:p>
        </w:tc>
      </w:tr>
    </w:tbl>
    <w:p>
      <w:pPr>
        <w:pStyle w:val="BodyText"/>
      </w:pPr>
      <w:r>
        <w:rPr>
          <w:bCs/>
          <w:b/>
        </w:rPr>
        <w:t xml:space="preserve">Pending inside Spec Rev 2 (4 drafted rows, none blocking load):</w:t>
      </w:r>
      <w:r>
        <w:t xml:space="preserve"> </w:t>
      </w:r>
      <w:r>
        <w:t xml:space="preserve">Water Features TDS as reference · COC texts · DCW TDS texts · Calcium Hardness 0–350 texts.</w:t>
      </w:r>
    </w:p>
    <w:bookmarkEnd w:id="49"/>
    <w:bookmarkEnd w:id="50"/>
    <w:bookmarkStart w:id="52" w:name="X0da33dc2f76519c7314a767995874efc0408006"/>
    <w:p>
      <w:pPr>
        <w:pStyle w:val="Heading1"/>
      </w:pPr>
      <w:r>
        <w:t xml:space="preserve">18. Client-Facing Value Programme (restored Gap 3)</w:t>
      </w:r>
    </w:p>
    <w:bookmarkStart w:id="51" w:name="proactive-safety-alerts-v2.0"/>
    <w:p>
      <w:pPr>
        <w:pStyle w:val="Heading2"/>
      </w:pPr>
      <w:r>
        <w:t xml:space="preserve">18.1 Proactive Safety Alerts — v2.0</w:t>
      </w:r>
    </w:p>
    <w:p>
      <w:pPr>
        <w:pStyle w:val="FirstParagraph"/>
      </w:pPr>
      <w:r>
        <w:t xml:space="preserve">Same-day push of qualifying critical findings to the CE, via the fast-track SL queue (full mechanics in Section 9).</w:t>
      </w:r>
    </w:p>
    <w:bookmarkEnd w:id="51"/>
    <w:bookmarkEnd w:id="52"/>
    <w:bookmarkStart w:id="53" w:name="standard-letters-client-actions"/>
    <w:p>
      <w:pPr>
        <w:pStyle w:val="Heading1"/>
      </w:pPr>
      <w:r>
        <w:t xml:space="preserve">21. Standard Letters &amp; Client Actions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Library</w:t>
            </w:r>
          </w:p>
        </w:tc>
        <w:tc>
          <w:tcPr/>
          <w:p>
            <w:pPr>
              <w:pStyle w:val="Compact"/>
              <w:jc w:val="left"/>
            </w:pPr>
            <w:r>
              <w:rPr>
                <w:bCs/>
                <w:b/>
              </w:rPr>
              <w:t xml:space="preserve">B1–B10 (boilers)</w:t>
            </w:r>
            <w:r>
              <w:t xml:space="preserve"> </w:t>
            </w:r>
            <w:r>
              <w:t xml:space="preserve">— the second letter previously duplicated as</w:t>
            </w:r>
            <w:r>
              <w:t xml:space="preserve"> </w:t>
            </w:r>
            <w:r>
              <w:t xml:space="preserve">‘</w:t>
            </w:r>
            <w:r>
              <w:t xml:space="preserve">B4</w:t>
            </w:r>
            <w:r>
              <w:t xml:space="preserve">’</w:t>
            </w:r>
            <w:r>
              <w:t xml:space="preserve"> </w:t>
            </w:r>
            <w:r>
              <w:t xml:space="preserve">(boilers previously treated by other companies — a liability disclaimer, not a problem letter) is</w:t>
            </w:r>
            <w:r>
              <w:t xml:space="preserve"> </w:t>
            </w:r>
            <w:r>
              <w:rPr>
                <w:bCs/>
                <w:b/>
              </w:rPr>
              <w:t xml:space="preserve">RECODED B10</w:t>
            </w:r>
            <w:r>
              <w:t xml:space="preserve">. A1–A10 (pools), C1–C2 (closed circuits) + separate bacteriological library. Sent to CE first, triggered by repeated unsolved problems.</w:t>
            </w:r>
          </w:p>
        </w:tc>
      </w:tr>
      <w:tr>
        <w:tc>
          <w:tcPr/>
          <w:p>
            <w:pPr>
              <w:pStyle w:val="Compact"/>
              <w:jc w:val="left"/>
            </w:pPr>
            <w:r>
              <w:rPr>
                <w:bCs/>
                <w:b/>
              </w:rPr>
              <w:t xml:space="preserve">Special handler routing (LOCKED — Gap 7)</w:t>
            </w:r>
          </w:p>
        </w:tc>
        <w:tc>
          <w:tcPr/>
          <w:p>
            <w:pPr>
              <w:pStyle w:val="Compact"/>
              <w:jc w:val="left"/>
            </w:pPr>
            <w:r>
              <w:t xml:space="preserve">Letter config table carries a</w:t>
            </w:r>
            <w:r>
              <w:t xml:space="preserve"> </w:t>
            </w:r>
            <w:r>
              <w:rPr>
                <w:bCs/>
                <w:b/>
              </w:rPr>
              <w:t xml:space="preserve">special handler field</w:t>
            </w:r>
            <w:r>
              <w:t xml:space="preserve">: a triggered letter auto-routes its report/quote to the named handler. B7 (steam traps) →</w:t>
            </w:r>
            <w:r>
              <w:t xml:space="preserve"> </w:t>
            </w:r>
            <w:r>
              <w:rPr>
                <w:bCs/>
                <w:b/>
              </w:rPr>
              <w:t xml:space="preserve">Eng. Amr Attia</w:t>
            </w:r>
            <w:r>
              <w:t xml:space="preserve"> </w:t>
            </w:r>
            <w:r>
              <w:t xml:space="preserve">(survey report + quote handled directly). OM-updatable; available to any future letter needing specialist handling.</w:t>
            </w:r>
          </w:p>
        </w:tc>
      </w:tr>
      <w:tr>
        <w:tc>
          <w:tcPr/>
          <w:p>
            <w:pPr>
              <w:pStyle w:val="Compact"/>
              <w:jc w:val="left"/>
            </w:pPr>
            <w:r>
              <w:rPr>
                <w:bCs/>
                <w:b/>
              </w:rPr>
              <w:t xml:space="preserve">C2 escalation</w:t>
            </w:r>
          </w:p>
        </w:tc>
        <w:tc>
          <w:tcPr/>
          <w:p>
            <w:pPr>
              <w:pStyle w:val="Compact"/>
              <w:jc w:val="left"/>
            </w:pPr>
            <w:r>
              <w:t xml:space="preserve">Chiller water contaminating potable = immediate SL + OM escalation (not just a letter).</w:t>
            </w:r>
          </w:p>
        </w:tc>
      </w:tr>
      <w:tr>
        <w:tc>
          <w:tcPr/>
          <w:p>
            <w:pPr>
              <w:pStyle w:val="Compact"/>
              <w:jc w:val="left"/>
            </w:pPr>
            <w:r>
              <w:rPr>
                <w:bCs/>
                <w:b/>
              </w:rPr>
              <w:t xml:space="preserve">GAPS to write</w:t>
            </w:r>
          </w:p>
        </w:tc>
        <w:tc>
          <w:tcPr/>
          <w:p>
            <w:pPr>
              <w:pStyle w:val="Compact"/>
              <w:jc w:val="left"/>
            </w:pPr>
            <w:r>
              <w:t xml:space="preserve">Cooling Tower, Domestic Hot Water, Mains Water/LSI, Feed Tank. OM to assign writer. Bacteriological library to be reviewed.</w:t>
            </w:r>
          </w:p>
        </w:tc>
      </w:tr>
      <w:tr>
        <w:tc>
          <w:tcPr/>
          <w:p>
            <w:pPr>
              <w:pStyle w:val="Compact"/>
              <w:jc w:val="left"/>
            </w:pPr>
            <w:r>
              <w:rPr>
                <w:bCs/>
                <w:b/>
              </w:rPr>
              <w:t xml:space="preserve">Lifecycle</w:t>
            </w:r>
          </w:p>
        </w:tc>
        <w:tc>
          <w:tcPr/>
          <w:p>
            <w:pPr>
              <w:pStyle w:val="Compact"/>
              <w:jc w:val="left"/>
            </w:pPr>
            <w:r>
              <w:t xml:space="preserve">Sent → Acknowledged → Resolved / Unresolved. Each letter has an embedded NC opportunity.</w:t>
            </w:r>
          </w:p>
        </w:tc>
      </w:tr>
      <w:tr>
        <w:tc>
          <w:tcPr/>
          <w:p>
            <w:pPr>
              <w:pStyle w:val="Compact"/>
              <w:jc w:val="left"/>
            </w:pPr>
            <w:r>
              <w:rPr>
                <w:bCs/>
                <w:b/>
              </w:rPr>
              <w:t xml:space="preserve">‘</w:t>
            </w:r>
            <w:r>
              <w:rPr>
                <w:bCs/>
                <w:b/>
              </w:rPr>
              <w:t xml:space="preserve">********************To be done by client********************</w:t>
            </w:r>
            <w:r>
              <w:rPr>
                <w:bCs/>
                <w:b/>
              </w:rPr>
              <w:t xml:space="preserve">’</w:t>
            </w:r>
          </w:p>
        </w:tc>
        <w:tc>
          <w:tcPr/>
          <w:p>
            <w:pPr>
              <w:pStyle w:val="Compact"/>
              <w:jc w:val="left"/>
            </w:pPr>
            <w:r>
              <w:t xml:space="preserve">Time-bound on-site tasks: description + named person + product flag. SE confirms next visit. 2 visits unresolved = SL alert. CE sees open actions in report copy. ST does NOT chase clients or withhold services — internal tracking only.</w:t>
            </w:r>
          </w:p>
        </w:tc>
      </w:tr>
    </w:tbl>
    <w:bookmarkEnd w:id="53"/>
    <w:bookmarkStart w:id="54" w:name="core-design-principles"/>
    <w:p>
      <w:pPr>
        <w:pStyle w:val="Heading1"/>
      </w:pPr>
      <w:r>
        <w:t xml:space="preserve">24. Core Design Principles</w:t>
      </w:r>
    </w:p>
    <w:p>
      <w:pPr>
        <w:numPr>
          <w:ilvl w:val="0"/>
          <w:numId w:val="1009"/>
        </w:numPr>
      </w:pPr>
      <w:r>
        <w:t xml:space="preserve">Prompt over enforce — OM prefers prompting (observations, Done-by-ST, dose quantity, stage evidence) over blocking. Hard exceptions are rare and deliberate (Lost reason, CE/Attention).</w:t>
      </w:r>
    </w:p>
    <w:p>
      <w:pPr>
        <w:numPr>
          <w:ilvl w:val="0"/>
          <w:numId w:val="1009"/>
        </w:numPr>
      </w:pPr>
      <w:r>
        <w:t xml:space="preserve">Data-entry errors ≠ treatment failures — several</w:t>
      </w:r>
      <w:r>
        <w:t xml:space="preserve"> </w:t>
      </w:r>
      <w:r>
        <w:t xml:space="preserve">‘</w:t>
      </w:r>
      <w:r>
        <w:t xml:space="preserve">severe breaches</w:t>
      </w:r>
      <w:r>
        <w:t xml:space="preserve">’</w:t>
      </w:r>
      <w:r>
        <w:t xml:space="preserve"> </w:t>
      </w:r>
      <w:r>
        <w:t xml:space="preserve">were input errors; validates field validation + identical-readings check.</w:t>
      </w:r>
    </w:p>
    <w:p>
      <w:pPr>
        <w:numPr>
          <w:ilvl w:val="0"/>
          <w:numId w:val="1009"/>
        </w:numPr>
      </w:pPr>
      <w:r>
        <w:t xml:space="preserve">SOW drives all visit forms — only in-scope systems appear by default; out-of-scope testing permitted but flagged.</w:t>
      </w:r>
    </w:p>
    <w:p>
      <w:pPr>
        <w:numPr>
          <w:ilvl w:val="0"/>
          <w:numId w:val="1009"/>
        </w:numPr>
      </w:pPr>
      <w:r>
        <w:t xml:space="preserve">One market, one classification — every operating hotel counted once: Excluded / C / ANC / PC. Greenfield separate, never in TOH. Relationship layers (owner, operator, opportunities, C-client NC purchases) never change the count.</w:t>
      </w:r>
    </w:p>
    <w:p>
      <w:pPr>
        <w:numPr>
          <w:ilvl w:val="0"/>
          <w:numId w:val="1009"/>
        </w:numPr>
      </w:pPr>
      <w:r>
        <w:t xml:space="preserve">Market status vs commercial behaviour are separate axes — C/ANC/PC/Excluded (status) and the later-release behaviour classification (behaviour, v2.1) never interfere.</w:t>
      </w:r>
    </w:p>
    <w:p>
      <w:pPr>
        <w:numPr>
          <w:ilvl w:val="0"/>
          <w:numId w:val="1009"/>
        </w:numPr>
      </w:pPr>
      <w:r>
        <w:t xml:space="preserve">Coverage is measured against PLAN — planned vs completed, not</w:t>
      </w:r>
      <w:r>
        <w:t xml:space="preserve"> </w:t>
      </w:r>
      <w:r>
        <w:t xml:space="preserve">“</w:t>
      </w:r>
      <w:r>
        <w:t xml:space="preserve">ever visited</w:t>
      </w:r>
      <w:r>
        <w:t xml:space="preserve">”</w:t>
      </w:r>
      <w:r>
        <w:t xml:space="preserve">. Every planned sales visit has a stated purpose.</w:t>
      </w:r>
    </w:p>
    <w:p>
      <w:pPr>
        <w:numPr>
          <w:ilvl w:val="0"/>
          <w:numId w:val="1009"/>
        </w:numPr>
      </w:pPr>
      <w:r>
        <w:t xml:space="preserve">Effective-dated assignments — branch/area splits reassign clients forward; history computes against the assignment valid at the time. History is never restated.</w:t>
      </w:r>
    </w:p>
    <w:p>
      <w:pPr>
        <w:numPr>
          <w:ilvl w:val="0"/>
          <w:numId w:val="1009"/>
        </w:numPr>
      </w:pPr>
      <w:r>
        <w:t xml:space="preserve">Deltas over levels — improvement matters more than raw performance; a bad delta means wrong focus or missing support, not failure.</w:t>
      </w:r>
      <w:r>
        <w:t xml:space="preserve"> </w:t>
      </w:r>
      <w:r>
        <w:rPr>
          <w:bCs/>
          <w:b/>
        </w:rPr>
        <w:t xml:space="preserve">No public ranking of engineers — SEs see only their own metrics.</w:t>
      </w:r>
    </w:p>
    <w:p>
      <w:pPr>
        <w:numPr>
          <w:ilvl w:val="0"/>
          <w:numId w:val="1009"/>
        </w:numPr>
      </w:pPr>
      <w:r>
        <w:t xml:space="preserve">Win = a PO number exists — the single definition across all conversion metrics.</w:t>
      </w:r>
    </w:p>
    <w:p>
      <w:pPr>
        <w:numPr>
          <w:ilvl w:val="0"/>
          <w:numId w:val="1009"/>
        </w:numPr>
      </w:pPr>
      <w:r>
        <w:t xml:space="preserve">Failed remediation is a first-class concept — not just a data field. Chronic breaches (3+) forced to SL regardless of other thresholds.</w:t>
      </w:r>
    </w:p>
    <w:p>
      <w:pPr>
        <w:numPr>
          <w:ilvl w:val="0"/>
          <w:numId w:val="1009"/>
        </w:numPr>
      </w:pPr>
      <w:r>
        <w:t xml:space="preserve">Parameter deviation is range-based only — never % deviation from a client’s own average.</w:t>
      </w:r>
    </w:p>
    <w:p>
      <w:pPr>
        <w:numPr>
          <w:ilvl w:val="0"/>
          <w:numId w:val="1009"/>
        </w:numPr>
      </w:pPr>
      <w:r>
        <w:t xml:space="preserve">‘</w:t>
      </w:r>
      <w:r>
        <w:t xml:space="preserve">Please monitor</w:t>
      </w:r>
      <w:r>
        <w:t xml:space="preserve">’</w:t>
      </w:r>
      <w:r>
        <w:t xml:space="preserve"> </w:t>
      </w:r>
      <w:r>
        <w:t xml:space="preserve">eliminated — all actions require a defined condition + threshold.</w:t>
      </w:r>
    </w:p>
    <w:p>
      <w:pPr>
        <w:numPr>
          <w:ilvl w:val="0"/>
          <w:numId w:val="1009"/>
        </w:numPr>
      </w:pPr>
      <w:r>
        <w:t xml:space="preserve">Client action tracking stays internal — ST does not chase clients or withhold services.</w:t>
      </w:r>
    </w:p>
    <w:p>
      <w:pPr>
        <w:numPr>
          <w:ilvl w:val="0"/>
          <w:numId w:val="1009"/>
        </w:numPr>
      </w:pPr>
      <w:r>
        <w:t xml:space="preserve">Negative LSI warning persists every visit — corrosion is ongoing, not a one-time alert.</w:t>
      </w:r>
    </w:p>
    <w:p>
      <w:pPr>
        <w:numPr>
          <w:ilvl w:val="0"/>
          <w:numId w:val="1009"/>
        </w:numPr>
      </w:pPr>
      <w:r>
        <w:t xml:space="preserve">Infrastructure breach actions are flexible — for chronic mains-water issues (LSI, chloride, TDS), the system offers a CHOICE (contact supplier / adjust chemical treatment / propose NC equipment), not a single locked action. The NC opportunity is a prompt, not a requirement.</w:t>
      </w:r>
    </w:p>
    <w:p>
      <w:pPr>
        <w:numPr>
          <w:ilvl w:val="0"/>
          <w:numId w:val="1009"/>
        </w:numPr>
      </w:pPr>
      <w:r>
        <w:t xml:space="preserve">System types, parameters, letters, costs, branches, campaign types, property types = data not code — OM configures, no developer needed.</w:t>
      </w:r>
    </w:p>
    <w:p>
      <w:pPr>
        <w:numPr>
          <w:ilvl w:val="0"/>
          <w:numId w:val="1009"/>
        </w:numPr>
      </w:pPr>
      <w:r>
        <w:t xml:space="preserve">Resin beds are never chlorinated (max 0.1 ppm) — manufacturer approval required for any chemical resin treatment.</w:t>
      </w:r>
    </w:p>
    <w:p>
      <w:pPr>
        <w:numPr>
          <w:ilvl w:val="0"/>
          <w:numId w:val="1009"/>
        </w:numPr>
      </w:pPr>
      <w:r>
        <w:t xml:space="preserve">Campaign checklists are OM-owned across all branches — consistency is what makes the annual guarantee meaningful.</w:t>
      </w:r>
    </w:p>
    <w:p>
      <w:pPr>
        <w:numPr>
          <w:ilvl w:val="0"/>
          <w:numId w:val="1009"/>
        </w:numPr>
      </w:pPr>
      <w:r>
        <w:t xml:space="preserve">Same data, multiple lenses — SOW (3 versions), V/V (client/SE/branch/company), audit outputs (5 audiences), quote (client budget vs internal offer). The client NEVER sees the pipeline.</w:t>
      </w:r>
    </w:p>
    <w:p>
      <w:pPr>
        <w:numPr>
          <w:ilvl w:val="0"/>
          <w:numId w:val="1009"/>
        </w:numPr>
      </w:pPr>
      <w:r>
        <w:t xml:space="preserve">Technical red flags ≠ customer-service issues — client-system problems and ST-response problems are separate records, separate report sections, separate remedies.</w:t>
      </w:r>
    </w:p>
    <w:p>
      <w:pPr>
        <w:numPr>
          <w:ilvl w:val="0"/>
          <w:numId w:val="1009"/>
        </w:numPr>
      </w:pPr>
      <w:r>
        <w:t xml:space="preserve">Reports are management tools — every important number leads to an insight, action, coaching need, risk escalation or decision. Insights identify what should improve. No important issue remains informal.</w:t>
      </w:r>
    </w:p>
    <w:p>
      <w:pPr>
        <w:numPr>
          <w:ilvl w:val="0"/>
          <w:numId w:val="1009"/>
        </w:numPr>
      </w:pPr>
      <w:r>
        <w:t xml:space="preserve">The client-facing report is the weakest link in the current system — dramatically improving it is a primary v2.0 goal.</w:t>
      </w:r>
    </w:p>
    <w:bookmarkEnd w:id="54"/>
    <w:bookmarkStart w:id="55" w:name="stage-1-open-items-extract-relevant-only"/>
    <w:p>
      <w:pPr>
        <w:pStyle w:val="Heading1"/>
      </w:pPr>
      <w:r>
        <w:t xml:space="preserve">Stage 1 Open Items (extract-relevant only)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Item</w:t>
            </w:r>
          </w:p>
        </w:tc>
      </w:tr>
      <w:tr>
        <w:tc>
          <w:tcPr/>
          <w:p>
            <w:pPr>
              <w:pStyle w:val="Compact"/>
              <w:jc w:val="left"/>
            </w:pPr>
            <w:r>
              <w:t xml:space="preserve">1</w:t>
            </w:r>
          </w:p>
        </w:tc>
        <w:tc>
          <w:tcPr/>
          <w:p>
            <w:pPr>
              <w:pStyle w:val="Compact"/>
              <w:jc w:val="left"/>
            </w:pPr>
            <w:r>
              <w:t xml:space="preserve">Client-facing report DESIGN (7-pillar, customer-value structure) — open, high-priority, being designed in parallel. Stage 1 builds the generation ENGINE against a provisional template; the approved design drops in before pilot as a template change.</w:t>
            </w:r>
          </w:p>
        </w:tc>
      </w:tr>
      <w:tr>
        <w:tc>
          <w:tcPr/>
          <w:p>
            <w:pPr>
              <w:pStyle w:val="Compact"/>
              <w:jc w:val="left"/>
            </w:pPr>
            <w:r>
              <w:t xml:space="preserve">2</w:t>
            </w:r>
          </w:p>
        </w:tc>
        <w:tc>
          <w:tcPr/>
          <w:p>
            <w:pPr>
              <w:pStyle w:val="Compact"/>
              <w:jc w:val="left"/>
            </w:pPr>
            <w:r>
              <w:t xml:space="preserve">Legal review (one pass, both texts): SOW catch-all exclusion clause + out-of-scope information-only disclaimer — AR/EN wording currently placeholder.</w:t>
            </w:r>
          </w:p>
        </w:tc>
      </w:tr>
      <w:tr>
        <w:tc>
          <w:tcPr/>
          <w:p>
            <w:pPr>
              <w:pStyle w:val="Compact"/>
              <w:jc w:val="left"/>
            </w:pPr>
            <w:r>
              <w:t xml:space="preserve">3</w:t>
            </w:r>
          </w:p>
        </w:tc>
        <w:tc>
          <w:tcPr/>
          <w:p>
            <w:pPr>
              <w:pStyle w:val="Compact"/>
              <w:jc w:val="left"/>
            </w:pPr>
            <w:r>
              <w:t xml:space="preserve">WhatsApp Business Platform verification — external lead time; account setup starts during Stage 1 even though dispatch is late Stage 1.</w:t>
            </w:r>
          </w:p>
        </w:tc>
      </w:tr>
      <w:tr>
        <w:tc>
          <w:tcPr/>
          <w:p>
            <w:pPr>
              <w:pStyle w:val="Compact"/>
              <w:jc w:val="left"/>
            </w:pPr>
            <w:r>
              <w:t xml:space="preserve">4</w:t>
            </w:r>
          </w:p>
        </w:tc>
        <w:tc>
          <w:tcPr/>
          <w:p>
            <w:pPr>
              <w:pStyle w:val="Compact"/>
              <w:jc w:val="left"/>
            </w:pPr>
            <w:r>
              <w:t xml:space="preserve">Four drafted parameter rows inside Parameter Specification Rev 2 marked OM-confirm (non-blocking for config load).</w:t>
            </w:r>
          </w:p>
        </w:tc>
      </w:tr>
      <w:tr>
        <w:tc>
          <w:tcPr/>
          <w:p>
            <w:pPr>
              <w:pStyle w:val="Compact"/>
              <w:jc w:val="left"/>
            </w:pPr>
            <w:r>
              <w:t xml:space="preserve">5</w:t>
            </w:r>
          </w:p>
        </w:tc>
        <w:tc>
          <w:tcPr/>
          <w:p>
            <w:pPr>
              <w:pStyle w:val="Compact"/>
              <w:jc w:val="left"/>
            </w:pPr>
            <w:r>
              <w:t xml:space="preserve">Direct-supply data set (branches, users/roles incl. Branch Accountants, sample SOWs, Arabic report samples, pilot-client fixtures) — supplied by MD/OM via the Users, Roles &amp; Access Questionnaire and admin data pack.</w:t>
            </w:r>
          </w:p>
        </w:tc>
      </w:tr>
    </w:tbl>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2026-08-05T11:14:54Z</dcterms:created>
  <dcterms:modified xsi:type="dcterms:W3CDTF">2026-08-05T11:14:54Z</dcterms:modified>
</cp:coreProperties>
</file>

<file path=docProps/custom.xml><?xml version="1.0" encoding="utf-8"?>
<Properties xmlns="http://schemas.openxmlformats.org/officeDocument/2006/custom-properties" xmlns:vt="http://schemas.openxmlformats.org/officeDocument/2006/docPropsVTypes"/>
</file>