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CarShare247</w:t>
      </w:r>
    </w:p>
    <w:p>
      <w:pPr>
        <w:spacing w:after="140"/>
      </w:pPr>
      <w:r>
        <w:t xml:space="preserve">UI and Application Flow Review</w:t>
      </w:r>
    </w:p>
    <w:p>
      <w:pPr>
        <w:spacing w:after="300"/>
      </w:pPr>
      <w:r>
        <w:t xml:space="preserve">Scope: Angular web application and Android-capable Capacitor implementation. This assessment is based on source review and a live inspection of the authentication screen on 2 September 2026.</w:t>
      </w:r>
    </w:p>
    <w:p>
      <w:pPr>
        <w:pStyle w:val="Heading1"/>
        <w:spacing w:after="120" w:before="260"/>
      </w:pPr>
      <w:r>
        <w:t xml:space="preserve">1. Executive Summary</w:t>
      </w:r>
    </w:p>
    <w:p>
      <w:r>
        <w:t xml:space="preserve">CarShare247 presents a strong functional foundation for a verified, two-sided car-pooling marketplace. The main passenger flow is visible and coherent: onboarding, identity verification, route search, segment selection, owner approval, booking management, and rating. The owner path extends this with verification, subscription activation, ride creation, and booking response. An administrative console supplies review functions for subscriptions, users, rides, verification, and support.</w:t>
      </w:r>
    </w:p>
    <w:p>
      <w:r>
        <w:t xml:space="preserve">The safety flow has been strengthened: passengers can browse rides before verification, while booking remains verification-gated. Accepted booking details now use a mobile-responsive action hierarchy for location sharing, cancellation, emergency calling, safety reporting, and owner blocking. The most significant remaining UX opportunity is visual consistency: the entry, ride, owner, and administrative views still use distinct component-level visual systems.</w:t>
      </w:r>
    </w:p>
    <w:p>
      <w:pPr>
        <w:pStyle w:val="Heading1"/>
        <w:spacing w:after="120" w:before="260"/>
      </w:pPr>
      <w:r>
        <w:t xml:space="preserve">2. Observed Application Flow</w:t>
      </w:r>
    </w:p>
    <w:p>
      <w:pPr>
        <w:pStyle w:val="Heading2"/>
        <w:spacing w:after="120" w:before="260"/>
      </w:pPr>
      <w:r>
        <w:t xml:space="preserve">2.1 Passenger Flow</w:t>
      </w:r>
    </w:p>
    <w:p>
      <w:pPr>
        <w:pStyle w:val="ListParagraph"/>
        <w:numPr>
          <w:ilvl w:val="0"/>
          <w:numId w:val="1"/>
        </w:numPr>
        <w:spacing w:after="75"/>
      </w:pPr>
      <w:r>
        <w:t xml:space="preserve">Entry: User chooses registration or login, then selects Passenger or Car Owner.</w:t>
      </w:r>
    </w:p>
    <w:p>
      <w:pPr>
        <w:pStyle w:val="ListParagraph"/>
        <w:numPr>
          <w:ilvl w:val="0"/>
          <w:numId w:val="1"/>
        </w:numPr>
        <w:spacing w:after="75"/>
      </w:pPr>
      <w:r>
        <w:t xml:space="preserve">Registration: Passenger supplies basic details, verifies their mobile with OTP, completes DIDIT identity verification, and captures a live photo.</w:t>
      </w:r>
    </w:p>
    <w:p>
      <w:pPr>
        <w:pStyle w:val="ListParagraph"/>
        <w:numPr>
          <w:ilvl w:val="0"/>
          <w:numId w:val="1"/>
        </w:numPr>
        <w:spacing w:after="75"/>
      </w:pPr>
      <w:r>
        <w:t xml:space="preserve">Discovery: Passenger can browse multi-stop availability before verification by selecting origin, destination, date, and required seats.</w:t>
      </w:r>
    </w:p>
    <w:p>
      <w:pPr>
        <w:pStyle w:val="ListParagraph"/>
        <w:numPr>
          <w:ilvl w:val="0"/>
          <w:numId w:val="1"/>
        </w:numPr>
        <w:spacing w:after="75"/>
      </w:pPr>
      <w:r>
        <w:t xml:space="preserve">Evaluation: Results show route, times, price, driver rating, vehicle, availability, stop-by-stop route preview, and female-only marker where applicable.</w:t>
      </w:r>
    </w:p>
    <w:p>
      <w:pPr>
        <w:pStyle w:val="ListParagraph"/>
        <w:numPr>
          <w:ilvl w:val="0"/>
          <w:numId w:val="1"/>
        </w:numPr>
        <w:spacing w:after="75"/>
      </w:pPr>
      <w:r>
        <w:t xml:space="preserve">Booking: Identity approval is required before a passenger can request a booking. The request remains pending owner approval.</w:t>
      </w:r>
    </w:p>
    <w:p>
      <w:pPr>
        <w:pStyle w:val="ListParagraph"/>
        <w:numPr>
          <w:ilvl w:val="0"/>
          <w:numId w:val="1"/>
        </w:numPr>
        <w:spacing w:after="75"/>
      </w:pPr>
      <w:r>
        <w:t xml:space="preserve">Trip management: Accepted booking details include location sharing, cancellation, rating, a 112 emergency action, prefilled safety reporting, and owner blocking. The backend rejects future booking attempts between blocked users in either direction.</w:t>
      </w:r>
    </w:p>
    <w:p>
      <w:pPr>
        <w:pStyle w:val="Heading2"/>
        <w:spacing w:after="120" w:before="260"/>
      </w:pPr>
      <w:r>
        <w:t xml:space="preserve">2.2 Owner Flow</w:t>
      </w:r>
    </w:p>
    <w:p>
      <w:pPr>
        <w:pStyle w:val="ListParagraph"/>
        <w:numPr>
          <w:ilvl w:val="0"/>
          <w:numId w:val="1"/>
        </w:numPr>
        <w:spacing w:after="75"/>
      </w:pPr>
      <w:r>
        <w:t xml:space="preserve">Owner onboarding follows basic details, OTP, DIDIT verification, and live photo capture.</w:t>
      </w:r>
    </w:p>
    <w:p>
      <w:pPr>
        <w:pStyle w:val="ListParagraph"/>
        <w:numPr>
          <w:ilvl w:val="0"/>
          <w:numId w:val="1"/>
        </w:numPr>
        <w:spacing w:after="75"/>
      </w:pPr>
      <w:r>
        <w:t xml:space="preserve">An owner chooses a subscription plan, pays through the configured payment experience, submits a UTR reference, and awaits administrative review.</w:t>
      </w:r>
    </w:p>
    <w:p>
      <w:pPr>
        <w:pStyle w:val="ListParagraph"/>
        <w:numPr>
          <w:ilvl w:val="0"/>
          <w:numId w:val="1"/>
        </w:numPr>
        <w:spacing w:after="75"/>
      </w:pPr>
      <w:r>
        <w:t xml:space="preserve">After activation, the owner creates a ride with date, vehicle, capacity, female-only visibility, route stops, arrival/departure time, and fixed or segmented prices.</w:t>
      </w:r>
    </w:p>
    <w:p>
      <w:pPr>
        <w:pStyle w:val="ListParagraph"/>
        <w:numPr>
          <w:ilvl w:val="0"/>
          <w:numId w:val="1"/>
        </w:numPr>
        <w:spacing w:after="75"/>
      </w:pPr>
      <w:r>
        <w:t xml:space="preserve">The owner dashboard links to ride management and booking requests so the owner can respond to passenger requests.</w:t>
      </w:r>
    </w:p>
    <w:p>
      <w:pPr>
        <w:pStyle w:val="Heading2"/>
        <w:spacing w:after="120" w:before="260"/>
      </w:pPr>
      <w:r>
        <w:t xml:space="preserve">2.3 Administrative Flow</w:t>
      </w:r>
    </w:p>
    <w:p>
      <w:pPr>
        <w:pStyle w:val="ListParagraph"/>
        <w:numPr>
          <w:ilvl w:val="0"/>
          <w:numId w:val="1"/>
        </w:numPr>
        <w:spacing w:after="75"/>
      </w:pPr>
      <w:r>
        <w:t xml:space="preserve">The admin console provides tabbed lists for subscriptions, users, rides, support tickets, and DIDIT verification.</w:t>
      </w:r>
    </w:p>
    <w:p>
      <w:pPr>
        <w:pStyle w:val="ListParagraph"/>
        <w:numPr>
          <w:ilvl w:val="0"/>
          <w:numId w:val="1"/>
        </w:numPr>
        <w:spacing w:after="75"/>
      </w:pPr>
      <w:r>
        <w:t xml:space="preserve">Safety reports use a SAFETY_INCIDENT category and an URGENT priority, with urgent tickets ordered first and an urgent admin notification.</w:t>
      </w:r>
    </w:p>
    <w:p>
      <w:pPr>
        <w:pStyle w:val="ListParagraph"/>
        <w:numPr>
          <w:ilvl w:val="0"/>
          <w:numId w:val="1"/>
        </w:numPr>
        <w:spacing w:after="75"/>
      </w:pPr>
      <w:r>
        <w:t xml:space="preserve">Ticket creation and resolution are written to audit logs. The dashboard remains table-centric and depends on horizontal scrolling for dense information.</w:t>
      </w:r>
    </w:p>
    <w:p>
      <w:pPr>
        <w:pStyle w:val="Heading1"/>
        <w:spacing w:after="120" w:before="260"/>
      </w:pPr>
      <w:r>
        <w:t xml:space="preserve">3. UI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087E8B" w:val="clear"/>
          </w:tcPr>
          <w:p>
            <w:r>
              <w:rPr>
                <w:b/>
                <w:bCs/>
              </w:rPr>
              <w:t xml:space="preserve">Area</w:t>
            </w:r>
          </w:p>
        </w:tc>
        <w:tc>
          <w:tcPr>
            <w:tcW w:type="pct" w:w="25%"/>
            <w:shd w:color="087E8B" w:val="clear"/>
          </w:tcPr>
          <w:p>
            <w:r>
              <w:rPr>
                <w:b/>
                <w:bCs/>
              </w:rPr>
              <w:t xml:space="preserve">Observed interface</w:t>
            </w:r>
          </w:p>
        </w:tc>
        <w:tc>
          <w:tcPr>
            <w:tcW w:type="pct" w:w="25%"/>
            <w:shd w:color="087E8B" w:val="clear"/>
          </w:tcPr>
          <w:p>
            <w:r>
              <w:rPr>
                <w:b/>
                <w:bCs/>
              </w:rPr>
              <w:t xml:space="preserve">Primary user value</w:t>
            </w:r>
          </w:p>
        </w:tc>
        <w:tc>
          <w:tcPr>
            <w:tcW w:type="pct" w:w="25%"/>
            <w:shd w:color="087E8B" w:val="clear"/>
          </w:tcPr>
          <w:p>
            <w:r>
              <w:rPr>
                <w:b/>
                <w:bCs/>
              </w:rPr>
              <w:t xml:space="preserve">Assessment</w:t>
            </w:r>
          </w:p>
        </w:tc>
      </w:tr>
      <w:tr>
        <w:tc>
          <w:tcPr>
            <w:tcW w:type="pct" w:w="25%"/>
          </w:tcPr>
          <w:p>
            <w:r>
              <w:rPr>
                <w:b w:val="false"/>
                <w:bCs w:val="false"/>
              </w:rPr>
              <w:t xml:space="preserve">Authentication</w:t>
            </w:r>
          </w:p>
        </w:tc>
        <w:tc>
          <w:tcPr>
            <w:tcW w:type="pct" w:w="25%"/>
          </w:tcPr>
          <w:p>
            <w:r>
              <w:rPr>
                <w:b w:val="false"/>
                <w:bCs w:val="false"/>
              </w:rPr>
              <w:t xml:space="preserve">Split hero and login/register card; role switch; OTP fields.</w:t>
            </w:r>
          </w:p>
        </w:tc>
        <w:tc>
          <w:tcPr>
            <w:tcW w:type="pct" w:w="25%"/>
          </w:tcPr>
          <w:p>
            <w:r>
              <w:rPr>
                <w:b w:val="false"/>
                <w:bCs w:val="false"/>
              </w:rPr>
              <w:t xml:space="preserve">Clear entry and account type choice.</w:t>
            </w:r>
          </w:p>
        </w:tc>
        <w:tc>
          <w:tcPr>
            <w:tcW w:type="pct" w:w="25%"/>
          </w:tcPr>
          <w:p>
            <w:r>
              <w:rPr>
                <w:b w:val="false"/>
                <w:bCs w:val="false"/>
              </w:rPr>
              <w:t xml:space="preserve">Strong first impression; role/login rules add cognitive load.</w:t>
            </w:r>
          </w:p>
        </w:tc>
      </w:tr>
      <w:tr>
        <w:tc>
          <w:tcPr>
            <w:tcW w:type="pct" w:w="25%"/>
          </w:tcPr>
          <w:p>
            <w:r>
              <w:rPr>
                <w:b w:val="false"/>
                <w:bCs w:val="false"/>
              </w:rPr>
              <w:t xml:space="preserve">Registration</w:t>
            </w:r>
          </w:p>
        </w:tc>
        <w:tc>
          <w:tcPr>
            <w:tcW w:type="pct" w:w="25%"/>
          </w:tcPr>
          <w:p>
            <w:r>
              <w:rPr>
                <w:b w:val="false"/>
                <w:bCs w:val="false"/>
              </w:rPr>
              <w:t xml:space="preserve">Progress tracker, verification status, live-camera capture.</w:t>
            </w:r>
          </w:p>
        </w:tc>
        <w:tc>
          <w:tcPr>
            <w:tcW w:type="pct" w:w="25%"/>
          </w:tcPr>
          <w:p>
            <w:r>
              <w:rPr>
                <w:b w:val="false"/>
                <w:bCs w:val="false"/>
              </w:rPr>
              <w:t xml:space="preserve">Makes compliance steps explicit.</w:t>
            </w:r>
          </w:p>
        </w:tc>
        <w:tc>
          <w:tcPr>
            <w:tcW w:type="pct" w:w="25%"/>
          </w:tcPr>
          <w:p>
            <w:r>
              <w:rPr>
                <w:b w:val="false"/>
                <w:bCs w:val="false"/>
              </w:rPr>
              <w:t xml:space="preserve">Functional but lengthy; copy and recovery states matter greatly.</w:t>
            </w:r>
          </w:p>
        </w:tc>
      </w:tr>
      <w:tr>
        <w:tc>
          <w:tcPr>
            <w:tcW w:type="pct" w:w="25%"/>
          </w:tcPr>
          <w:p>
            <w:r>
              <w:rPr>
                <w:b w:val="false"/>
                <w:bCs w:val="false"/>
              </w:rPr>
              <w:t xml:space="preserve">Ride search</w:t>
            </w:r>
          </w:p>
        </w:tc>
        <w:tc>
          <w:tcPr>
            <w:tcW w:type="pct" w:w="25%"/>
          </w:tcPr>
          <w:p>
            <w:r>
              <w:rPr>
                <w:b w:val="false"/>
                <w:bCs w:val="false"/>
              </w:rPr>
              <w:t xml:space="preserve">Four-field form, location suggestions, ride cards, route timeline.</w:t>
            </w:r>
          </w:p>
        </w:tc>
        <w:tc>
          <w:tcPr>
            <w:tcW w:type="pct" w:w="25%"/>
          </w:tcPr>
          <w:p>
            <w:r>
              <w:rPr>
                <w:b w:val="false"/>
                <w:bCs w:val="false"/>
              </w:rPr>
              <w:t xml:space="preserve">Supports precise multi-stop matching.</w:t>
            </w:r>
          </w:p>
        </w:tc>
        <w:tc>
          <w:tcPr>
            <w:tcW w:type="pct" w:w="25%"/>
          </w:tcPr>
          <w:p>
            <w:r>
              <w:rPr>
                <w:b w:val="false"/>
                <w:bCs w:val="false"/>
              </w:rPr>
              <w:t xml:space="preserve">Core marketplace experience; dense but informative.</w:t>
            </w:r>
          </w:p>
        </w:tc>
      </w:tr>
      <w:tr>
        <w:tc>
          <w:tcPr>
            <w:tcW w:type="pct" w:w="25%"/>
          </w:tcPr>
          <w:p>
            <w:r>
              <w:rPr>
                <w:b w:val="false"/>
                <w:bCs w:val="false"/>
              </w:rPr>
              <w:t xml:space="preserve">Booking</w:t>
            </w:r>
          </w:p>
        </w:tc>
        <w:tc>
          <w:tcPr>
            <w:tcW w:type="pct" w:w="25%"/>
          </w:tcPr>
          <w:p>
            <w:r>
              <w:rPr>
                <w:b w:val="false"/>
                <w:bCs w:val="false"/>
              </w:rPr>
              <w:t xml:space="preserve">Segment summary, route, price breakdown, terms, confirmation, and accepted-booking safety panel.</w:t>
            </w:r>
          </w:p>
        </w:tc>
        <w:tc>
          <w:tcPr>
            <w:tcW w:type="pct" w:w="25%"/>
          </w:tcPr>
          <w:p>
            <w:r>
              <w:rPr>
                <w:b w:val="false"/>
                <w:bCs w:val="false"/>
              </w:rPr>
              <w:t xml:space="preserve">Sets request expectations and provides trip safety actions.</w:t>
            </w:r>
          </w:p>
        </w:tc>
        <w:tc>
          <w:tcPr>
            <w:tcW w:type="pct" w:w="25%"/>
          </w:tcPr>
          <w:p>
            <w:r>
              <w:rPr>
                <w:b w:val="false"/>
                <w:bCs w:val="false"/>
              </w:rPr>
              <w:t xml:space="preserve">Safety actions are grouped and stack below 420px for mobile readability.</w:t>
            </w:r>
          </w:p>
        </w:tc>
      </w:tr>
      <w:tr>
        <w:tc>
          <w:tcPr>
            <w:tcW w:type="pct" w:w="25%"/>
          </w:tcPr>
          <w:p>
            <w:r>
              <w:rPr>
                <w:b w:val="false"/>
                <w:bCs w:val="false"/>
              </w:rPr>
              <w:t xml:space="preserve">Owner creation</w:t>
            </w:r>
          </w:p>
        </w:tc>
        <w:tc>
          <w:tcPr>
            <w:tcW w:type="pct" w:w="25%"/>
          </w:tcPr>
          <w:p>
            <w:r>
              <w:rPr>
                <w:b w:val="false"/>
                <w:bCs w:val="false"/>
              </w:rPr>
              <w:t xml:space="preserve">Five-stage form with dynamic stops and pricing.</w:t>
            </w:r>
          </w:p>
        </w:tc>
        <w:tc>
          <w:tcPr>
            <w:tcW w:type="pct" w:w="25%"/>
          </w:tcPr>
          <w:p>
            <w:r>
              <w:rPr>
                <w:b w:val="false"/>
                <w:bCs w:val="false"/>
              </w:rPr>
              <w:t xml:space="preserve">Allows sophisticated route publishing.</w:t>
            </w:r>
          </w:p>
        </w:tc>
        <w:tc>
          <w:tcPr>
            <w:tcW w:type="pct" w:w="25%"/>
          </w:tcPr>
          <w:p>
            <w:r>
              <w:rPr>
                <w:b w:val="false"/>
                <w:bCs w:val="false"/>
              </w:rPr>
              <w:t xml:space="preserve">Powerful, but needs careful defaults and validation feedback.</w:t>
            </w:r>
          </w:p>
        </w:tc>
      </w:tr>
      <w:tr>
        <w:tc>
          <w:tcPr>
            <w:tcW w:type="pct" w:w="25%"/>
          </w:tcPr>
          <w:p>
            <w:r>
              <w:rPr>
                <w:b w:val="false"/>
                <w:bCs w:val="false"/>
              </w:rPr>
              <w:t xml:space="preserve">Admin</w:t>
            </w:r>
          </w:p>
        </w:tc>
        <w:tc>
          <w:tcPr>
            <w:tcW w:type="pct" w:w="25%"/>
          </w:tcPr>
          <w:p>
            <w:r>
              <w:rPr>
                <w:b w:val="false"/>
                <w:bCs w:val="false"/>
              </w:rPr>
              <w:t xml:space="preserve">Stats, tabs, tables, status chips, review actions.</w:t>
            </w:r>
          </w:p>
        </w:tc>
        <w:tc>
          <w:tcPr>
            <w:tcW w:type="pct" w:w="25%"/>
          </w:tcPr>
          <w:p>
            <w:r>
              <w:rPr>
                <w:b w:val="false"/>
                <w:bCs w:val="false"/>
              </w:rPr>
              <w:t xml:space="preserve">Centralises operating work.</w:t>
            </w:r>
          </w:p>
        </w:tc>
        <w:tc>
          <w:tcPr>
            <w:tcW w:type="pct" w:w="25%"/>
          </w:tcPr>
          <w:p>
            <w:r>
              <w:rPr>
                <w:b w:val="false"/>
                <w:bCs w:val="false"/>
              </w:rPr>
              <w:t xml:space="preserve">Appropriate for desktop; needs a deliberate mobile admin strategy.</w:t>
            </w:r>
          </w:p>
        </w:tc>
      </w:tr>
    </w:tbl>
    <w:p>
      <w:pPr>
        <w:pStyle w:val="Heading1"/>
        <w:spacing w:after="120" w:before="260"/>
      </w:pPr>
      <w:r>
        <w:t xml:space="preserve">4. Strengths</w:t>
      </w:r>
    </w:p>
    <w:p>
      <w:pPr>
        <w:pStyle w:val="ListParagraph"/>
        <w:numPr>
          <w:ilvl w:val="0"/>
          <w:numId w:val="1"/>
        </w:numPr>
        <w:spacing w:after="75"/>
      </w:pPr>
      <w:r>
        <w:t xml:space="preserve">Clear role separation: passenger, owner, and administrator journeys map to real marketplace responsibilities.</w:t>
      </w:r>
    </w:p>
    <w:p>
      <w:pPr>
        <w:pStyle w:val="ListParagraph"/>
        <w:numPr>
          <w:ilvl w:val="0"/>
          <w:numId w:val="1"/>
        </w:numPr>
        <w:spacing w:after="75"/>
      </w:pPr>
      <w:r>
        <w:t xml:space="preserve">Ride discovery before identity approval reduces early funnel friction while keeping booking verification-gated.</w:t>
      </w:r>
    </w:p>
    <w:p>
      <w:pPr>
        <w:pStyle w:val="ListParagraph"/>
        <w:numPr>
          <w:ilvl w:val="0"/>
          <w:numId w:val="1"/>
        </w:numPr>
        <w:spacing w:after="75"/>
      </w:pPr>
      <w:r>
        <w:t xml:space="preserve">Trust is embedded through OTP, DIDIT status, live photo capture, ratings, urgent safety reporting, emergency calling, mutual booking blocks, and moderated operational queues.</w:t>
      </w:r>
    </w:p>
    <w:p>
      <w:pPr>
        <w:pStyle w:val="ListParagraph"/>
        <w:numPr>
          <w:ilvl w:val="0"/>
          <w:numId w:val="1"/>
        </w:numPr>
        <w:spacing w:after="75"/>
      </w:pPr>
      <w:r>
        <w:t xml:space="preserve">The accepted-booking safety panel has a distinct mobile-responsive hierarchy rather than a cluttered stack of destructive controls.</w:t>
      </w:r>
    </w:p>
    <w:p>
      <w:pPr>
        <w:pStyle w:val="ListParagraph"/>
        <w:numPr>
          <w:ilvl w:val="0"/>
          <w:numId w:val="1"/>
        </w:numPr>
        <w:spacing w:after="75"/>
      </w:pPr>
      <w:r>
        <w:t xml:space="preserve">Multi-stop routes and segment pricing are meaningful functional differentiation over basic origin-to-destination ride lists.</w:t>
      </w:r>
    </w:p>
    <w:p>
      <w:pPr>
        <w:pStyle w:val="ListParagraph"/>
        <w:numPr>
          <w:ilvl w:val="0"/>
          <w:numId w:val="1"/>
        </w:numPr>
        <w:spacing w:after="75"/>
      </w:pPr>
      <w:r>
        <w:t xml:space="preserve">Push design spans web and Android: Firebase Cloud Messaging/web service worker plus Capacitor native and local notifications.</w:t>
      </w:r>
    </w:p>
    <w:p>
      <w:pPr>
        <w:pStyle w:val="ListParagraph"/>
        <w:numPr>
          <w:ilvl w:val="0"/>
          <w:numId w:val="1"/>
        </w:numPr>
        <w:spacing w:after="75"/>
      </w:pPr>
      <w:r>
        <w:t xml:space="preserve">Dependabot is configured for npm, Maven, and GitHub Actions updates.</w:t>
      </w:r>
    </w:p>
    <w:p>
      <w:pPr>
        <w:pStyle w:val="Heading1"/>
        <w:spacing w:after="120" w:before="260"/>
      </w:pPr>
      <w:r>
        <w:t xml:space="preserve">5. Constraints and Risks</w:t>
      </w:r>
    </w:p>
    <w:p>
      <w:pPr>
        <w:pStyle w:val="ListParagraph"/>
        <w:numPr>
          <w:ilvl w:val="0"/>
          <w:numId w:val="1"/>
        </w:numPr>
        <w:spacing w:after="75"/>
      </w:pPr>
      <w:r>
        <w:t xml:space="preserve">Visual inconsistency: component-local styling results in different radius, color, typography, and button patterns across the product.</w:t>
      </w:r>
    </w:p>
    <w:p>
      <w:pPr>
        <w:pStyle w:val="ListParagraph"/>
        <w:numPr>
          <w:ilvl w:val="0"/>
          <w:numId w:val="1"/>
        </w:numPr>
        <w:spacing w:after="75"/>
      </w:pPr>
      <w:r>
        <w:t xml:space="preserve">Onboarding friction remains: OTP, identity verification, live photo, and owner payment approval are justified trust controls but form a long conversion funnel.</w:t>
      </w:r>
    </w:p>
    <w:p>
      <w:pPr>
        <w:pStyle w:val="ListParagraph"/>
        <w:numPr>
          <w:ilvl w:val="0"/>
          <w:numId w:val="1"/>
        </w:numPr>
        <w:spacing w:after="75"/>
      </w:pPr>
      <w:r>
        <w:t xml:space="preserve">Manual operational dependency: UTR-based subscription verification requires admin capacity and clear turnaround expectations.</w:t>
      </w:r>
    </w:p>
    <w:p>
      <w:pPr>
        <w:pStyle w:val="ListParagraph"/>
        <w:numPr>
          <w:ilvl w:val="0"/>
          <w:numId w:val="1"/>
        </w:numPr>
        <w:spacing w:after="75"/>
      </w:pPr>
      <w:r>
        <w:t xml:space="preserve">Admin density: urgent tickets are prioritised, but tables still have high information value and depend on wide layouts.</w:t>
      </w:r>
    </w:p>
    <w:p>
      <w:pPr>
        <w:pStyle w:val="ListParagraph"/>
        <w:numPr>
          <w:ilvl w:val="0"/>
          <w:numId w:val="1"/>
        </w:numPr>
        <w:spacing w:after="75"/>
      </w:pPr>
      <w:r>
        <w:t xml:space="preserve">Permissions and environment sensitivity: camera guidance now explains denied/unavailable access, but push and location still depend on device consent and supported contexts.</w:t>
      </w:r>
    </w:p>
    <w:p>
      <w:pPr>
        <w:pStyle w:val="ListParagraph"/>
        <w:numPr>
          <w:ilvl w:val="0"/>
          <w:numId w:val="1"/>
        </w:numPr>
        <w:spacing w:after="75"/>
      </w:pPr>
      <w:r>
        <w:t xml:space="preserve">Hard-coded usage claims were replaced with product-value messaging. Real scale figures should come from verified analytics.</w:t>
      </w:r>
    </w:p>
    <w:p>
      <w:pPr>
        <w:pStyle w:val="ListParagraph"/>
        <w:numPr>
          <w:ilvl w:val="0"/>
          <w:numId w:val="1"/>
        </w:numPr>
        <w:spacing w:after="75"/>
      </w:pPr>
      <w:r>
        <w:t xml:space="preserve">Dependency update automation is configured, but current audit findings still require a controlled remediation cycle.</w:t>
      </w:r>
    </w:p>
    <w:p>
      <w:pPr>
        <w:pStyle w:val="Heading1"/>
        <w:spacing w:after="120" w:before="260"/>
      </w:pPr>
      <w:r>
        <w:t xml:space="preserve">6. Prioritised Recommendations</w:t>
      </w:r>
    </w:p>
    <w:p>
      <w:pPr>
        <w:pStyle w:val="Heading2"/>
        <w:spacing w:after="120" w:before="260"/>
      </w:pPr>
      <w:r>
        <w:t xml:space="preserve">P0: Conversion and trust clarity</w:t>
      </w:r>
    </w:p>
    <w:p>
      <w:pPr>
        <w:pStyle w:val="ListParagraph"/>
        <w:numPr>
          <w:ilvl w:val="0"/>
          <w:numId w:val="1"/>
        </w:numPr>
        <w:spacing w:after="75"/>
      </w:pPr>
      <w:r>
        <w:t xml:space="preserve">Publish a single registration checklist showing exactly why each verification step is needed, what is stored, and what happens after approval.</w:t>
      </w:r>
    </w:p>
    <w:p>
      <w:pPr>
        <w:pStyle w:val="ListParagraph"/>
        <w:numPr>
          <w:ilvl w:val="0"/>
          <w:numId w:val="1"/>
        </w:numPr>
        <w:spacing w:after="75"/>
      </w:pPr>
      <w:r>
        <w:t xml:space="preserve">Add durable status and recovery states for OTP, DIDIT review, payment review, rejected verification, and rejected UTR. Include expected next action and response timing.</w:t>
      </w:r>
    </w:p>
    <w:p>
      <w:pPr>
        <w:pStyle w:val="ListParagraph"/>
        <w:numPr>
          <w:ilvl w:val="0"/>
          <w:numId w:val="1"/>
        </w:numPr>
        <w:spacing w:after="75"/>
      </w:pPr>
      <w:r>
        <w:t xml:space="preserve">Use server-confirmed entitlement states consistently, with friendly blocked-state messages for search, booking, and owner publishing.</w:t>
      </w:r>
    </w:p>
    <w:p>
      <w:pPr>
        <w:pStyle w:val="Heading2"/>
        <w:spacing w:after="120" w:before="260"/>
      </w:pPr>
      <w:r>
        <w:t xml:space="preserve">P1: Design-system consolidation</w:t>
      </w:r>
    </w:p>
    <w:p>
      <w:pPr>
        <w:pStyle w:val="ListParagraph"/>
        <w:numPr>
          <w:ilvl w:val="0"/>
          <w:numId w:val="1"/>
        </w:numPr>
        <w:spacing w:after="75"/>
      </w:pPr>
      <w:r>
        <w:t xml:space="preserve">Define shared tokens for color, spacing, radius, elevation, input, button, card, status chip, and table patterns.</w:t>
      </w:r>
    </w:p>
    <w:p>
      <w:pPr>
        <w:pStyle w:val="ListParagraph"/>
        <w:numPr>
          <w:ilvl w:val="0"/>
          <w:numId w:val="1"/>
        </w:numPr>
        <w:spacing w:after="75"/>
      </w:pPr>
      <w:r>
        <w:t xml:space="preserve">Adopt one primary brand direction; the existing teal route/owner treatment is a strong candidate, while the blue/purple gradients can become a restrained accent.</w:t>
      </w:r>
    </w:p>
    <w:p>
      <w:pPr>
        <w:pStyle w:val="ListParagraph"/>
        <w:numPr>
          <w:ilvl w:val="0"/>
          <w:numId w:val="1"/>
        </w:numPr>
        <w:spacing w:after="75"/>
      </w:pPr>
      <w:r>
        <w:t xml:space="preserve">Replace emoji-dependent controls with a consistent icon set and accessible labels, especially in work-oriented screens.</w:t>
      </w:r>
    </w:p>
    <w:p>
      <w:pPr>
        <w:pStyle w:val="Heading2"/>
        <w:spacing w:after="120" w:before="260"/>
      </w:pPr>
      <w:r>
        <w:t xml:space="preserve">P2: Flow optimisation</w:t>
      </w:r>
    </w:p>
    <w:p>
      <w:pPr>
        <w:pStyle w:val="ListParagraph"/>
        <w:numPr>
          <w:ilvl w:val="0"/>
          <w:numId w:val="1"/>
        </w:numPr>
        <w:spacing w:after="75"/>
      </w:pPr>
      <w:r>
        <w:t xml:space="preserve">Preserve passenger search criteria and provide obvious edit controls from search results and booking.</w:t>
      </w:r>
    </w:p>
    <w:p>
      <w:pPr>
        <w:pStyle w:val="ListParagraph"/>
        <w:numPr>
          <w:ilvl w:val="0"/>
          <w:numId w:val="1"/>
        </w:numPr>
        <w:spacing w:after="75"/>
      </w:pPr>
      <w:r>
        <w:t xml:space="preserve">Make seat selection visibly editable at the most relevant stage, or explain why it is locked from the search request.</w:t>
      </w:r>
    </w:p>
    <w:p>
      <w:pPr>
        <w:pStyle w:val="ListParagraph"/>
        <w:numPr>
          <w:ilvl w:val="0"/>
          <w:numId w:val="1"/>
        </w:numPr>
        <w:spacing w:after="75"/>
      </w:pPr>
      <w:r>
        <w:t xml:space="preserve">Provide admin queue filters, bulk review safeguards, SLA indicators, and a mobile-friendly detail view rather than relying solely on wide tables.</w:t>
      </w:r>
    </w:p>
    <w:p>
      <w:pPr>
        <w:pStyle w:val="Heading2"/>
        <w:spacing w:after="120" w:before="260"/>
      </w:pPr>
      <w:r>
        <w:t xml:space="preserve">P3: Measurement and quality</w:t>
      </w:r>
    </w:p>
    <w:p>
      <w:pPr>
        <w:pStyle w:val="ListParagraph"/>
        <w:numPr>
          <w:ilvl w:val="0"/>
          <w:numId w:val="1"/>
        </w:numPr>
        <w:spacing w:after="75"/>
      </w:pPr>
      <w:r>
        <w:t xml:space="preserve">Instrument funnel exits across registration, verification, plan payment, ride creation, search, request, acceptance, cancellation, and rating.</w:t>
      </w:r>
    </w:p>
    <w:p>
      <w:pPr>
        <w:pStyle w:val="ListParagraph"/>
        <w:numPr>
          <w:ilvl w:val="0"/>
          <w:numId w:val="1"/>
        </w:numPr>
        <w:spacing w:after="75"/>
      </w:pPr>
      <w:r>
        <w:t xml:space="preserve">Add usability testing with passengers and owners in a single launch corridor before extending supply geography.</w:t>
      </w:r>
    </w:p>
    <w:p>
      <w:pPr>
        <w:pStyle w:val="ListParagraph"/>
        <w:numPr>
          <w:ilvl w:val="0"/>
          <w:numId w:val="1"/>
        </w:numPr>
        <w:spacing w:after="75"/>
      </w:pPr>
      <w:r>
        <w:t xml:space="preserve">Run accessibility review for keyboard traversal, focus visibility, color contrast, error announcements, and responsive behaviour.</w:t>
      </w:r>
    </w:p>
    <w:p>
      <w:pPr>
        <w:pStyle w:val="Heading1"/>
        <w:spacing w:after="120" w:before="260"/>
      </w:pPr>
      <w:r>
        <w:t xml:space="preserve">7. Architecture and Deployment Snapshot</w:t>
      </w:r>
    </w:p>
    <w:p>
      <w:pPr>
        <w:pStyle w:val="ListParagraph"/>
        <w:numPr>
          <w:ilvl w:val="0"/>
          <w:numId w:val="1"/>
        </w:numPr>
        <w:spacing w:after="75"/>
      </w:pPr>
      <w:r>
        <w:t xml:space="preserve">Frontend: Angular 17 standalone components, Angular Router, reactive forms, RxJS, and HTTP services.</w:t>
      </w:r>
    </w:p>
    <w:p>
      <w:pPr>
        <w:pStyle w:val="ListParagraph"/>
        <w:numPr>
          <w:ilvl w:val="0"/>
          <w:numId w:val="1"/>
        </w:numPr>
        <w:spacing w:after="75"/>
      </w:pPr>
      <w:r>
        <w:t xml:space="preserve">Backend interface: environment-configured REST endpoints for registration, DIDIT verification, rides, bookings, subscriptions, support, and push token registration.</w:t>
      </w:r>
    </w:p>
    <w:p>
      <w:pPr>
        <w:pStyle w:val="ListParagraph"/>
        <w:numPr>
          <w:ilvl w:val="0"/>
          <w:numId w:val="1"/>
        </w:numPr>
        <w:spacing w:after="75"/>
      </w:pPr>
      <w:r>
        <w:t xml:space="preserve">Notifications: Firebase Cloud Messaging handles web messaging and registration tokens; Capacitor Push Notifications and Local Notifications serve the Android build.</w:t>
      </w:r>
    </w:p>
    <w:p>
      <w:pPr>
        <w:pStyle w:val="ListParagraph"/>
        <w:numPr>
          <w:ilvl w:val="0"/>
          <w:numId w:val="1"/>
        </w:numPr>
        <w:spacing w:after="75"/>
      </w:pPr>
      <w:r>
        <w:t xml:space="preserve">Hosting: Netlify is configured to run the Angular production build and publish dist/car-pool/browser with SPA fallback.</w:t>
      </w:r>
    </w:p>
    <w:p>
      <w:pPr>
        <w:pStyle w:val="ListParagraph"/>
        <w:numPr>
          <w:ilvl w:val="0"/>
          <w:numId w:val="1"/>
        </w:numPr>
        <w:spacing w:after="75"/>
      </w:pPr>
      <w:r>
        <w:t xml:space="preserve">Android: Capacitor configuration targets com.carpool.app; package scripts build the web assets and synchronise them to the Android project.</w:t>
      </w:r>
    </w:p>
    <w:p>
      <w:pPr>
        <w:pStyle w:val="Heading1"/>
        <w:spacing w:after="120" w:before="260"/>
      </w:pPr>
      <w:r>
        <w:t xml:space="preserve">8. Conclusion</w:t>
      </w:r>
    </w:p>
    <w:p>
      <w:r>
        <w:t xml:space="preserve">CarShare247 has a genuinely differentiated core workflow in multi-stop ride publishing and segment booking, supported by unusually complete verification and administrative controls for a prototype-stage marketplace. The highest-leverage next step is not another standalone screen: it is making the existing flow feel like one coherent, measured, and operationally scalable product.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2026-09-02T07:27:01.038Z</dcterms:created>
  <dcterms:modified xsi:type="dcterms:W3CDTF">2026-09-02T07:27:01.042Z</dcterms:modified>
</cp:coreProperties>
</file>

<file path=docProps/custom.xml><?xml version="1.0" encoding="utf-8"?>
<Properties xmlns="http://schemas.openxmlformats.org/officeDocument/2006/custom-properties" xmlns:vt="http://schemas.openxmlformats.org/officeDocument/2006/docPropsVTypes"/>
</file>