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FBD" w:rsidRPr="00BB3F66" w:rsidRDefault="00DD3D07" w:rsidP="00BB3F66">
      <w:pPr>
        <w:pStyle w:val="1"/>
        <w:rPr>
          <w:rFonts w:ascii="微软雅黑" w:eastAsia="微软雅黑" w:hAnsi="微软雅黑"/>
        </w:rPr>
      </w:pPr>
      <w:bookmarkStart w:id="0" w:name="_Toc303932502"/>
      <w:r w:rsidRPr="00BB3F66">
        <w:rPr>
          <w:rFonts w:ascii="微软雅黑" w:eastAsia="微软雅黑" w:hAnsi="微软雅黑" w:hint="eastAsia"/>
        </w:rPr>
        <w:t>使用篇</w:t>
      </w:r>
      <w:bookmarkEnd w:id="0"/>
      <w:r w:rsidR="00577758" w:rsidRPr="00BB3F66">
        <w:rPr>
          <w:rFonts w:ascii="微软雅黑" w:eastAsia="微软雅黑" w:hAnsi="微软雅黑" w:hint="eastAsia"/>
        </w:rPr>
        <w:t xml:space="preserve">    </w:t>
      </w:r>
      <w:r w:rsidR="00A63D47" w:rsidRPr="00BB3F66">
        <w:rPr>
          <w:rFonts w:ascii="微软雅黑" w:eastAsia="微软雅黑" w:hAnsi="微软雅黑" w:hint="eastAsia"/>
        </w:rPr>
        <w:t xml:space="preserve">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70514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3FBD" w:rsidRDefault="00C53FBD">
          <w:pPr>
            <w:pStyle w:val="TOC"/>
          </w:pPr>
          <w:r>
            <w:rPr>
              <w:lang w:val="zh-CN"/>
            </w:rPr>
            <w:t>目录</w:t>
          </w:r>
        </w:p>
        <w:p w:rsidR="00BE7C2C" w:rsidRDefault="00B9452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53FBD">
            <w:instrText xml:space="preserve"> TOC \o "1-3" \h \z \u </w:instrText>
          </w:r>
          <w:r>
            <w:fldChar w:fldCharType="separate"/>
          </w:r>
          <w:hyperlink w:anchor="_Toc303932502" w:history="1"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使用篇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03932503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="00BE7C2C">
              <w:rPr>
                <w:noProof/>
              </w:rPr>
              <w:tab/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推荐版本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03932504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2.</w:t>
            </w:r>
            <w:r w:rsidR="00BE7C2C">
              <w:rPr>
                <w:noProof/>
              </w:rPr>
              <w:tab/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新用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TDDL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分库分表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3932505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1.1 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使用动态数据源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(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具有动态调节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ip,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密码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读写权重变换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增库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主备切换功能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)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3932506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使用本地数据源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(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不具有动态调节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ip,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密码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读写权重变换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增库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主备切换功能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)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3932507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1.3 2.3.3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规则详解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3932508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1.4 2.4.4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新规则详解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3932509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2. 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不使用分库分表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将一个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DBCP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数据升级为一个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Atom DataSource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3932510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3. 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不使用分库分表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,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将一个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DBCP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数据升级为一个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 Group DataSource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3932511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4. 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使用</w:t>
            </w:r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>tddl-sequence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3932512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4.1 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原理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C2C" w:rsidRDefault="00B9452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03932513" w:history="1">
            <w:r w:rsidR="00BE7C2C" w:rsidRPr="00A11681">
              <w:rPr>
                <w:rStyle w:val="a7"/>
                <w:rFonts w:ascii="微软雅黑" w:eastAsia="微软雅黑" w:hAnsi="微软雅黑"/>
                <w:noProof/>
              </w:rPr>
              <w:t xml:space="preserve">4.2 </w:t>
            </w:r>
            <w:r w:rsidR="00BE7C2C" w:rsidRPr="00A11681">
              <w:rPr>
                <w:rStyle w:val="a7"/>
                <w:rFonts w:ascii="微软雅黑" w:eastAsia="微软雅黑" w:hAnsi="微软雅黑" w:hint="eastAsia"/>
                <w:noProof/>
              </w:rPr>
              <w:t>使用</w:t>
            </w:r>
            <w:r w:rsidR="00BE7C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7C2C">
              <w:rPr>
                <w:noProof/>
                <w:webHidden/>
              </w:rPr>
              <w:instrText xml:space="preserve"> PAGEREF _Toc303932513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C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BD" w:rsidRDefault="00B94527" w:rsidP="00C53FBD">
          <w:r>
            <w:fldChar w:fldCharType="end"/>
          </w:r>
        </w:p>
        <w:p w:rsidR="00C53FBD" w:rsidRDefault="00C53FBD" w:rsidP="00C53FBD"/>
        <w:p w:rsidR="00C53FBD" w:rsidRDefault="00C53FBD" w:rsidP="00C53FBD"/>
        <w:p w:rsidR="00C53FBD" w:rsidRDefault="00C53FBD" w:rsidP="00C53FBD"/>
        <w:p w:rsidR="00BE7C2C" w:rsidRDefault="00BE7C2C" w:rsidP="00C53FBD"/>
        <w:p w:rsidR="00BE7C2C" w:rsidRDefault="00BE7C2C" w:rsidP="00C53FBD"/>
        <w:p w:rsidR="00BE7C2C" w:rsidRDefault="00BE7C2C" w:rsidP="00C53FBD"/>
        <w:p w:rsidR="00BE7C2C" w:rsidRDefault="00BE7C2C" w:rsidP="00C53FBD"/>
        <w:p w:rsidR="00BE7C2C" w:rsidRDefault="00BE7C2C" w:rsidP="00C53FBD"/>
        <w:p w:rsidR="006C0A07" w:rsidRPr="00C53FBD" w:rsidRDefault="00B94527" w:rsidP="00C53FBD"/>
      </w:sdtContent>
    </w:sdt>
    <w:p w:rsidR="00294CDF" w:rsidRDefault="00294CDF" w:rsidP="00294CDF">
      <w:pPr>
        <w:pStyle w:val="2"/>
        <w:numPr>
          <w:ilvl w:val="0"/>
          <w:numId w:val="8"/>
        </w:numPr>
        <w:rPr>
          <w:rFonts w:ascii="微软雅黑" w:eastAsia="微软雅黑" w:hAnsi="微软雅黑"/>
        </w:rPr>
      </w:pPr>
      <w:bookmarkStart w:id="1" w:name="_Toc303932503"/>
      <w:r>
        <w:rPr>
          <w:rFonts w:ascii="微软雅黑" w:eastAsia="微软雅黑" w:hAnsi="微软雅黑" w:hint="eastAsia"/>
        </w:rPr>
        <w:lastRenderedPageBreak/>
        <w:t>推荐版本</w:t>
      </w:r>
      <w:bookmarkEnd w:id="1"/>
    </w:p>
    <w:p w:rsidR="00D36272" w:rsidRPr="00132D71" w:rsidRDefault="000C1BFE" w:rsidP="000C1BFE">
      <w:pPr>
        <w:rPr>
          <w:rFonts w:ascii="微软雅黑" w:eastAsia="微软雅黑" w:hAnsi="微软雅黑"/>
        </w:rPr>
      </w:pPr>
      <w:r w:rsidRPr="00132D71">
        <w:rPr>
          <w:rFonts w:ascii="微软雅黑" w:eastAsia="微软雅黑" w:hAnsi="微软雅黑" w:hint="eastAsia"/>
        </w:rPr>
        <w:t>TDDL推荐版本依赖</w:t>
      </w:r>
    </w:p>
    <w:p w:rsidR="00294CDF" w:rsidRPr="00132D71" w:rsidRDefault="00294CDF" w:rsidP="00294CDF">
      <w:pPr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&lt;dependency&gt;</w:t>
      </w:r>
    </w:p>
    <w:p w:rsidR="00294CDF" w:rsidRPr="00132D71" w:rsidRDefault="00294CDF" w:rsidP="00294CDF">
      <w:pPr>
        <w:ind w:firstLine="405"/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&lt;groupId&gt;com.taobao.tddl&lt;/groupId&gt;</w:t>
      </w:r>
    </w:p>
    <w:p w:rsidR="00294CDF" w:rsidRPr="00132D71" w:rsidRDefault="00294CDF" w:rsidP="00294CDF">
      <w:pPr>
        <w:ind w:firstLine="405"/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&lt;artifactId&gt;tddl-client&lt;/artifactId&gt;</w:t>
      </w:r>
    </w:p>
    <w:p w:rsidR="00294CDF" w:rsidRPr="00132D71" w:rsidRDefault="00294CDF" w:rsidP="00294CDF">
      <w:pPr>
        <w:ind w:firstLine="405"/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&lt;version&gt;3.0.1</w:t>
      </w:r>
      <w:r w:rsidR="00132D71" w:rsidRPr="00132D71">
        <w:rPr>
          <w:rStyle w:val="apple-style-span"/>
          <w:rFonts w:ascii="微软雅黑" w:eastAsia="微软雅黑" w:hAnsi="微软雅黑" w:cs="Arial" w:hint="eastAsia"/>
          <w:color w:val="000000"/>
          <w:szCs w:val="21"/>
        </w:rPr>
        <w:t>.1</w:t>
      </w: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&lt;/version&gt;</w:t>
      </w:r>
    </w:p>
    <w:p w:rsidR="00294CDF" w:rsidRPr="00132D71" w:rsidRDefault="000C1BFE" w:rsidP="00294CDF">
      <w:pPr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&lt;/dependency&gt;</w:t>
      </w:r>
    </w:p>
    <w:p w:rsidR="000C1BFE" w:rsidRPr="00132D71" w:rsidRDefault="000C1BFE" w:rsidP="00294CDF">
      <w:pPr>
        <w:rPr>
          <w:rStyle w:val="apple-style-span"/>
          <w:rFonts w:ascii="微软雅黑" w:eastAsia="微软雅黑" w:hAnsi="微软雅黑" w:cs="Arial"/>
          <w:color w:val="000000"/>
          <w:szCs w:val="21"/>
        </w:rPr>
      </w:pPr>
    </w:p>
    <w:p w:rsidR="00BB1DCC" w:rsidRPr="00132D71" w:rsidRDefault="00BB1DCC" w:rsidP="00294CDF">
      <w:pPr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 w:hint="eastAsia"/>
          <w:color w:val="000000"/>
          <w:szCs w:val="21"/>
        </w:rPr>
        <w:t>TDDL-SEQUENCE推荐版本依赖(3.0.0 9月低release)</w:t>
      </w:r>
    </w:p>
    <w:p w:rsidR="000C1BFE" w:rsidRPr="00132D71" w:rsidRDefault="000C1BFE" w:rsidP="00294CDF">
      <w:pPr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&lt;dependency&gt;</w:t>
      </w:r>
    </w:p>
    <w:p w:rsidR="000C1BFE" w:rsidRPr="00132D71" w:rsidRDefault="000C1BFE" w:rsidP="000C1BFE">
      <w:pPr>
        <w:ind w:firstLineChars="200" w:firstLine="420"/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&lt;groupId&gt;com.taobao.tddl&lt;/groupId&gt;</w:t>
      </w:r>
    </w:p>
    <w:p w:rsidR="000C1BFE" w:rsidRPr="00132D71" w:rsidRDefault="000C1BFE" w:rsidP="000C1BFE">
      <w:pPr>
        <w:ind w:firstLineChars="200" w:firstLine="420"/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&lt;artifactId&gt;tddl-sequence&lt;/artifactId&gt;</w:t>
      </w:r>
    </w:p>
    <w:p w:rsidR="000C1BFE" w:rsidRPr="00132D71" w:rsidRDefault="000C1BFE" w:rsidP="000C1BFE">
      <w:pPr>
        <w:ind w:firstLineChars="200" w:firstLine="420"/>
        <w:rPr>
          <w:rStyle w:val="apple-style-span"/>
          <w:rFonts w:ascii="微软雅黑" w:eastAsia="微软雅黑" w:hAnsi="微软雅黑" w:cs="Arial"/>
          <w:color w:val="000000"/>
          <w:szCs w:val="21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&lt;version&gt;3.0.0-SNAPSHOT&lt;/version&gt;</w:t>
      </w:r>
    </w:p>
    <w:p w:rsidR="000C1BFE" w:rsidRPr="00132D71" w:rsidRDefault="000C1BFE" w:rsidP="00294CDF">
      <w:pPr>
        <w:rPr>
          <w:rFonts w:ascii="微软雅黑" w:eastAsia="微软雅黑" w:hAnsi="微软雅黑"/>
        </w:rPr>
      </w:pPr>
      <w:r w:rsidRPr="00132D71">
        <w:rPr>
          <w:rStyle w:val="apple-style-span"/>
          <w:rFonts w:ascii="微软雅黑" w:eastAsia="微软雅黑" w:hAnsi="微软雅黑" w:cs="Arial"/>
          <w:color w:val="000000"/>
          <w:szCs w:val="21"/>
        </w:rPr>
        <w:t>&lt;/dependency&gt;</w:t>
      </w:r>
    </w:p>
    <w:p w:rsidR="00DD3D07" w:rsidRPr="00BB3F66" w:rsidRDefault="00294CDF" w:rsidP="00C53FBD">
      <w:pPr>
        <w:pStyle w:val="2"/>
        <w:numPr>
          <w:ilvl w:val="0"/>
          <w:numId w:val="8"/>
        </w:numPr>
        <w:rPr>
          <w:rFonts w:ascii="微软雅黑" w:eastAsia="微软雅黑" w:hAnsi="微软雅黑"/>
        </w:rPr>
      </w:pPr>
      <w:bookmarkStart w:id="2" w:name="_Toc303932504"/>
      <w:r w:rsidRPr="00BB3F66">
        <w:rPr>
          <w:rFonts w:ascii="微软雅黑" w:eastAsia="微软雅黑" w:hAnsi="微软雅黑" w:hint="eastAsia"/>
        </w:rPr>
        <w:t>新用TDDL分库分表</w:t>
      </w:r>
      <w:bookmarkEnd w:id="2"/>
    </w:p>
    <w:p w:rsidR="00D33E7A" w:rsidRPr="00C53FBD" w:rsidRDefault="00C53FBD" w:rsidP="00C53FBD">
      <w:pPr>
        <w:pStyle w:val="3"/>
        <w:rPr>
          <w:rFonts w:ascii="微软雅黑" w:eastAsia="微软雅黑" w:hAnsi="微软雅黑"/>
        </w:rPr>
      </w:pPr>
      <w:bookmarkStart w:id="3" w:name="_Toc303932505"/>
      <w:r>
        <w:rPr>
          <w:rFonts w:ascii="微软雅黑" w:eastAsia="微软雅黑" w:hAnsi="微软雅黑" w:hint="eastAsia"/>
        </w:rPr>
        <w:t xml:space="preserve">1.1 </w:t>
      </w:r>
      <w:r w:rsidR="00D33E7A" w:rsidRPr="00C53FBD">
        <w:rPr>
          <w:rFonts w:ascii="微软雅黑" w:eastAsia="微软雅黑" w:hAnsi="微软雅黑" w:hint="eastAsia"/>
        </w:rPr>
        <w:t>使用动态数据源(具有动态调节ip,密码,读写权重变换,增库,主备切换功能)</w:t>
      </w:r>
      <w:bookmarkEnd w:id="3"/>
    </w:p>
    <w:p w:rsidR="00D33E7A" w:rsidRDefault="00C9047A" w:rsidP="00D33E7A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598805"/>
            <wp:effectExtent l="19050" t="0" r="2540" b="0"/>
            <wp:docPr id="4" name="图片 3" descr="tds-rem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s-remot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A9" w:rsidRPr="00ED64A9" w:rsidRDefault="00ED64A9" w:rsidP="00ED64A9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C9047A" w:rsidRDefault="00C9047A" w:rsidP="00D33E7A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使用动态数据源,配置很简单,如上图所示. 唯一需要注意的是 appName一般配成你的</w:t>
      </w:r>
      <w:r>
        <w:rPr>
          <w:rFonts w:ascii="微软雅黑" w:eastAsia="微软雅黑" w:hAnsi="微软雅黑" w:hint="eastAsia"/>
        </w:rPr>
        <w:lastRenderedPageBreak/>
        <w:t>应用名称.主要目的是不与其他应用重名. 因为这个appName属性是向我们持久配置中心diamond请求数据的一个凭证,如果和其他应用重名,那么你的应用将有可能拿不到你期望的数据源配置了.</w:t>
      </w:r>
    </w:p>
    <w:p w:rsidR="00C9047A" w:rsidRDefault="00C9047A" w:rsidP="00C9047A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C9047A">
        <w:rPr>
          <w:rFonts w:ascii="微软雅黑" w:eastAsia="微软雅黑" w:hAnsi="微软雅黑" w:hint="eastAsia"/>
          <w:color w:val="FF0000"/>
        </w:rPr>
        <w:t>这时,你可能有疑问了.我的数据库配置在哪呢?</w:t>
      </w:r>
      <w:r w:rsidRPr="00C9047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这个时候,你应该要找到你们的开发DBA,让他将你们应用使用数据源配置到持久配置中心diamond上去,包括数据库ip,port等信息,数据库主备权重信息</w:t>
      </w:r>
      <w:r w:rsidR="002168B0">
        <w:rPr>
          <w:rFonts w:ascii="微软雅黑" w:eastAsia="微软雅黑" w:hAnsi="微软雅黑" w:hint="eastAsia"/>
        </w:rPr>
        <w:t>,而这些信息都是不用你操心的,dba会通过一个脚本将其配置上去,你如果需要知道具体的权重配置,可以登录</w:t>
      </w:r>
      <w:hyperlink r:id="rId9" w:history="1">
        <w:r w:rsidR="002168B0">
          <w:rPr>
            <w:rStyle w:val="a7"/>
          </w:rPr>
          <w:t>http://ops.jm.taobao.net/rtools/jade/jade_global.htm</w:t>
        </w:r>
      </w:hyperlink>
      <w:r w:rsidR="002168B0">
        <w:rPr>
          <w:rFonts w:hint="eastAsia"/>
        </w:rPr>
        <w:t>(</w:t>
      </w:r>
      <w:r w:rsidR="002168B0">
        <w:rPr>
          <w:rFonts w:hint="eastAsia"/>
        </w:rPr>
        <w:t>日常</w:t>
      </w:r>
      <w:r w:rsidR="002168B0">
        <w:rPr>
          <w:rFonts w:hint="eastAsia"/>
        </w:rPr>
        <w:t>)</w:t>
      </w:r>
      <w:r w:rsidR="002168B0">
        <w:rPr>
          <w:rFonts w:hint="eastAsia"/>
        </w:rPr>
        <w:t>去查看</w:t>
      </w:r>
      <w:r w:rsidR="002168B0">
        <w:rPr>
          <w:rFonts w:hint="eastAsia"/>
        </w:rPr>
        <w:t>.</w:t>
      </w:r>
      <w:r>
        <w:rPr>
          <w:rFonts w:ascii="微软雅黑" w:eastAsia="微软雅黑" w:hAnsi="微软雅黑" w:hint="eastAsia"/>
        </w:rPr>
        <w:t>具体如下几图:</w:t>
      </w:r>
    </w:p>
    <w:p w:rsidR="00C9047A" w:rsidRDefault="002168B0" w:rsidP="00C9047A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589405"/>
            <wp:effectExtent l="19050" t="0" r="2540" b="0"/>
            <wp:docPr id="5" name="图片 4" descr="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B0" w:rsidRDefault="002168B0" w:rsidP="002168B0">
      <w:pPr>
        <w:pStyle w:val="a5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atrix管理(主要说明你应用使用了哪些group)</w:t>
      </w:r>
    </w:p>
    <w:p w:rsidR="002168B0" w:rsidRDefault="002168B0" w:rsidP="00C9047A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326515"/>
            <wp:effectExtent l="19050" t="0" r="2540" b="0"/>
            <wp:docPr id="6" name="图片 5" descr="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B0" w:rsidRDefault="002168B0" w:rsidP="002168B0">
      <w:pPr>
        <w:pStyle w:val="a5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Group管理(主要说明group数据源里面各个原子数据源的读写权重关系)</w:t>
      </w:r>
    </w:p>
    <w:p w:rsidR="002168B0" w:rsidRDefault="002168B0" w:rsidP="00C9047A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1823720"/>
            <wp:effectExtent l="19050" t="0" r="2540" b="0"/>
            <wp:docPr id="7" name="图片 6" descr="glo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l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F1" w:rsidRDefault="002168B0" w:rsidP="003816F1">
      <w:pPr>
        <w:pStyle w:val="a5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Global管理(主要说明数据源的ip,port,用户信息,使用这个数据源的应用配置等信息)</w:t>
      </w:r>
    </w:p>
    <w:p w:rsidR="00591597" w:rsidRDefault="00591597" w:rsidP="00591597">
      <w:pPr>
        <w:pStyle w:val="a5"/>
        <w:ind w:left="360"/>
        <w:jc w:val="left"/>
        <w:rPr>
          <w:rFonts w:ascii="微软雅黑" w:eastAsia="微软雅黑" w:hAnsi="微软雅黑"/>
        </w:rPr>
      </w:pPr>
    </w:p>
    <w:p w:rsidR="003816F1" w:rsidRPr="003816F1" w:rsidRDefault="003816F1" w:rsidP="00591597">
      <w:pPr>
        <w:pStyle w:val="a5"/>
        <w:ind w:left="360"/>
        <w:jc w:val="left"/>
        <w:rPr>
          <w:rFonts w:ascii="微软雅黑" w:eastAsia="微软雅黑" w:hAnsi="微软雅黑"/>
        </w:rPr>
      </w:pPr>
      <w:r w:rsidRPr="003816F1">
        <w:rPr>
          <w:rFonts w:ascii="微软雅黑" w:eastAsia="微软雅黑" w:hAnsi="微软雅黑" w:hint="eastAsia"/>
        </w:rPr>
        <w:t>做完以上的事情(实际上就2步),那么你的程序应该就能run起来了,哦,对了,我们还没有配置规则</w:t>
      </w:r>
      <w:r>
        <w:rPr>
          <w:rFonts w:ascii="微软雅黑" w:eastAsia="微软雅黑" w:hAnsi="微软雅黑" w:hint="eastAsia"/>
        </w:rPr>
        <w:t>.那么我们可以跳到第三节,看下我们最常用的配置的是如果配置的.</w:t>
      </w:r>
    </w:p>
    <w:p w:rsidR="003816F1" w:rsidRPr="00A658BE" w:rsidRDefault="003816F1" w:rsidP="00A658BE">
      <w:pPr>
        <w:jc w:val="left"/>
        <w:rPr>
          <w:rFonts w:ascii="微软雅黑" w:eastAsia="微软雅黑" w:hAnsi="微软雅黑"/>
        </w:rPr>
      </w:pPr>
    </w:p>
    <w:p w:rsidR="00DD3D07" w:rsidRPr="00C53FBD" w:rsidRDefault="00C53FBD" w:rsidP="00C53FBD">
      <w:pPr>
        <w:pStyle w:val="3"/>
        <w:rPr>
          <w:rFonts w:ascii="微软雅黑" w:eastAsia="微软雅黑" w:hAnsi="微软雅黑"/>
        </w:rPr>
      </w:pPr>
      <w:bookmarkStart w:id="4" w:name="_Toc303932506"/>
      <w:r>
        <w:rPr>
          <w:rFonts w:ascii="微软雅黑" w:eastAsia="微软雅黑" w:hAnsi="微软雅黑" w:hint="eastAsia"/>
        </w:rPr>
        <w:t>1.2</w:t>
      </w:r>
      <w:r w:rsidR="00577758" w:rsidRPr="00C53FBD">
        <w:rPr>
          <w:rFonts w:ascii="微软雅黑" w:eastAsia="微软雅黑" w:hAnsi="微软雅黑" w:hint="eastAsia"/>
        </w:rPr>
        <w:t>使用本地数据源</w:t>
      </w:r>
      <w:r w:rsidR="00D33E7A" w:rsidRPr="00C53FBD">
        <w:rPr>
          <w:rFonts w:ascii="微软雅黑" w:eastAsia="微软雅黑" w:hAnsi="微软雅黑" w:hint="eastAsia"/>
        </w:rPr>
        <w:t>(不具有动态调节ip,密码,读写权重变换,增库,主备切换功能)</w:t>
      </w:r>
      <w:bookmarkEnd w:id="4"/>
    </w:p>
    <w:p w:rsidR="00577758" w:rsidRDefault="00D33E7A" w:rsidP="00577758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905375" cy="3733800"/>
            <wp:effectExtent l="19050" t="0" r="9525" b="0"/>
            <wp:docPr id="1" name="图片 0" descr="dbc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cp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7A" w:rsidRPr="00577758" w:rsidRDefault="00D33E7A" w:rsidP="00577758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在你的spring文件中</w:t>
      </w:r>
      <w:r w:rsidR="00F276A8">
        <w:rPr>
          <w:rFonts w:ascii="微软雅黑" w:eastAsia="微软雅黑" w:hAnsi="微软雅黑" w:hint="eastAsia"/>
        </w:rPr>
        <w:t>会配有</w:t>
      </w:r>
      <w:r>
        <w:rPr>
          <w:rFonts w:ascii="微软雅黑" w:eastAsia="微软雅黑" w:hAnsi="微软雅黑" w:hint="eastAsia"/>
        </w:rPr>
        <w:t>DBCP数据源</w:t>
      </w:r>
    </w:p>
    <w:p w:rsidR="002168B0" w:rsidRDefault="00577758" w:rsidP="002168B0">
      <w:pPr>
        <w:ind w:leftChars="-150" w:hangingChars="150" w:hanging="315"/>
        <w:rPr>
          <w:rFonts w:ascii="微软雅黑" w:eastAsia="微软雅黑" w:hAnsi="微软雅黑"/>
        </w:rPr>
      </w:pPr>
      <w:r w:rsidRPr="00577758">
        <w:rPr>
          <w:rFonts w:ascii="微软雅黑" w:eastAsia="微软雅黑" w:hAnsi="微软雅黑" w:hint="eastAsia"/>
        </w:rPr>
        <w:t xml:space="preserve">    </w:t>
      </w:r>
      <w:r w:rsidR="002168B0">
        <w:rPr>
          <w:rFonts w:ascii="微软雅黑" w:eastAsia="微软雅黑" w:hAnsi="微软雅黑" w:hint="eastAsia"/>
        </w:rPr>
        <w:t xml:space="preserve">   </w:t>
      </w:r>
      <w:r w:rsidRPr="00577758">
        <w:rPr>
          <w:rFonts w:ascii="微软雅黑" w:eastAsia="微软雅黑" w:hAnsi="微软雅黑" w:hint="eastAsia"/>
        </w:rPr>
        <w:t xml:space="preserve">   </w:t>
      </w:r>
      <w:r w:rsidR="007F3C4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714875" cy="1504950"/>
            <wp:effectExtent l="19050" t="0" r="0" b="0"/>
            <wp:docPr id="3" name="图片 2" descr="tds-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s-loc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43" cy="15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Pr="00391A90" w:rsidRDefault="003F65E6" w:rsidP="00391A90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3816F1" w:rsidRPr="00512EE1" w:rsidRDefault="002168B0" w:rsidP="00A658BE">
      <w:pPr>
        <w:pStyle w:val="a5"/>
        <w:ind w:left="720" w:firstLineChars="0" w:firstLine="0"/>
        <w:rPr>
          <w:rFonts w:ascii="微软雅黑" w:eastAsia="微软雅黑" w:hAnsi="微软雅黑"/>
        </w:rPr>
      </w:pPr>
      <w:r w:rsidRPr="002168B0">
        <w:rPr>
          <w:rFonts w:ascii="微软雅黑" w:eastAsia="微软雅黑" w:hAnsi="微软雅黑" w:hint="eastAsia"/>
        </w:rPr>
        <w:t>rwDataSourcePool中的key是要在规则中使用的(具体讲到规则会说明).value指向本地配置原子数据源,并且标明了他们之间的读写关系. 一组数据源即数据相同(通过数据复制),只是存在着读写权重关系.</w:t>
      </w:r>
    </w:p>
    <w:p w:rsidR="002168B0" w:rsidRPr="00C53FBD" w:rsidRDefault="00C53FBD" w:rsidP="00C53FBD">
      <w:pPr>
        <w:pStyle w:val="3"/>
        <w:rPr>
          <w:rFonts w:ascii="微软雅黑" w:eastAsia="微软雅黑" w:hAnsi="微软雅黑"/>
        </w:rPr>
      </w:pPr>
      <w:bookmarkStart w:id="5" w:name="_Toc303932507"/>
      <w:r>
        <w:rPr>
          <w:rFonts w:ascii="微软雅黑" w:eastAsia="微软雅黑" w:hAnsi="微软雅黑" w:hint="eastAsia"/>
        </w:rPr>
        <w:t xml:space="preserve">1.3 </w:t>
      </w:r>
      <w:r w:rsidR="002168B0" w:rsidRPr="00C53FBD">
        <w:rPr>
          <w:rFonts w:ascii="微软雅黑" w:eastAsia="微软雅黑" w:hAnsi="微软雅黑" w:hint="eastAsia"/>
        </w:rPr>
        <w:t>2.3.3规则详解</w:t>
      </w:r>
      <w:bookmarkEnd w:id="5"/>
    </w:p>
    <w:p w:rsidR="00A0369E" w:rsidRDefault="00A0369E" w:rsidP="00A0369E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规则我们一般会配置成一个独立的spring配置,比如tddl-rule.xml,然后在TDataSouce的bean中进行property引用,如下图:</w:t>
      </w:r>
    </w:p>
    <w:p w:rsidR="00A0369E" w:rsidRDefault="0028638C" w:rsidP="00616D03">
      <w:pPr>
        <w:ind w:firstLineChars="300" w:firstLine="63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4876800" cy="142875"/>
            <wp:effectExtent l="19050" t="0" r="0" b="0"/>
            <wp:docPr id="10" name="图片 9" descr="tddl-rule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l-ruleFil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03" w:rsidRDefault="0028638C" w:rsidP="00616D03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下图是一个标准的配置文件.对于图中的(1)(2)(3)(4)点,这里我具体来说明下</w:t>
      </w:r>
    </w:p>
    <w:p w:rsidR="0028638C" w:rsidRPr="0028638C" w:rsidRDefault="0028638C" w:rsidP="0028638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28638C">
        <w:rPr>
          <w:rFonts w:ascii="微软雅黑" w:eastAsia="微软雅黑" w:hAnsi="微软雅黑" w:hint="eastAsia"/>
        </w:rPr>
        <w:t>中表示我有几张表是需要分库分表的,key一般表示逻辑表(也就是不带后缀的)</w:t>
      </w:r>
      <w:r>
        <w:rPr>
          <w:rFonts w:ascii="微软雅黑" w:eastAsia="微软雅黑" w:hAnsi="微软雅黑" w:hint="eastAsia"/>
        </w:rPr>
        <w:t>,value-ref指向接下来具体定义的规则bean.</w:t>
      </w:r>
    </w:p>
    <w:p w:rsidR="0028638C" w:rsidRPr="00CE010A" w:rsidRDefault="0028638C" w:rsidP="0028638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中表示的是一些特殊的开关,</w:t>
      </w:r>
      <w:r w:rsidRPr="00CE010A">
        <w:rPr>
          <w:rFonts w:ascii="微软雅黑" w:eastAsia="微软雅黑" w:hAnsi="微软雅黑" w:hint="eastAsia"/>
          <w:b/>
          <w:color w:val="FF0000"/>
        </w:rPr>
        <w:t>一般这几个property都不需要写</w:t>
      </w:r>
      <w:r>
        <w:rPr>
          <w:rFonts w:ascii="微软雅黑" w:eastAsia="微软雅黑" w:hAnsi="微软雅黑" w:hint="eastAsia"/>
        </w:rPr>
        <w:t>,completeDistinct表示是否支持多库多表的distinct</w:t>
      </w:r>
      <w:r w:rsidR="00CE010A">
        <w:rPr>
          <w:rFonts w:ascii="微软雅黑" w:eastAsia="微软雅黑" w:hAnsi="微软雅黑" w:hint="eastAsia"/>
        </w:rPr>
        <w:t>(true即为支持).needIdInGroup表示是否需要进行id in形式的优化, 这个在有大量参数在in()中的场景下,大大提高性能(true即为支持).defaultDbIndex表示如果一条sql进来,我们发现from, into,update后面跟的第一张表不分库分表,那么默认将这条sql在defaultDbIndex指向的数据库上直接执行掉. 这个对于不分库分表的</w:t>
      </w:r>
      <w:r w:rsidR="00CE010A">
        <w:rPr>
          <w:rFonts w:ascii="微软雅黑" w:eastAsia="微软雅黑" w:hAnsi="微软雅黑" w:hint="eastAsia"/>
        </w:rPr>
        <w:lastRenderedPageBreak/>
        <w:t>sql也走TDataSource是一个很好的解决方案.</w:t>
      </w:r>
    </w:p>
    <w:p w:rsidR="00CE010A" w:rsidRPr="00CE010A" w:rsidRDefault="00CE010A" w:rsidP="0028638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中dbIndexs表示这个逻辑表所分布的库的id, 使用动态数据源,这些id即matrix管理中你对应appName下的group列表中所有或者部分group dsKey,</w:t>
      </w:r>
    </w:p>
    <w:p w:rsidR="00CE010A" w:rsidRDefault="00CE010A" w:rsidP="00CE010A">
      <w:pPr>
        <w:pStyle w:val="a5"/>
        <w:ind w:left="99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使用本地数据源,这些id即TDataSource中rwDataSourcePool中所有或者部分的key.</w:t>
      </w:r>
    </w:p>
    <w:p w:rsidR="00CE010A" w:rsidRPr="00CE010A" w:rsidRDefault="00CE010A" w:rsidP="00CE010A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中 disableFullTableScan表示禁止全表扫描. 默认true,即禁止全表扫描成立.一般应用中的场景就是sql中不带分库分表条件, TDDL实际上就不知道如何分库分表了.如果带有这个property并且设置为false,那么也就是放开禁止全表扫描,那么这条sql会在所有这张逻辑表的分表上执行这条sql. 一般来说,不建议配置的时候加上这句配置,除非有全表扫描的需求.</w:t>
      </w:r>
    </w:p>
    <w:p w:rsidR="00FB4A72" w:rsidRDefault="005A6BD7" w:rsidP="00A0369E">
      <w:pPr>
        <w:pStyle w:val="a5"/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176270"/>
            <wp:effectExtent l="19050" t="0" r="2540" b="0"/>
            <wp:docPr id="14" name="图片 13" descr="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B" w:rsidRPr="00EC76EB" w:rsidRDefault="00EC76EB" w:rsidP="00EC76EB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CE010A" w:rsidRDefault="00CE010A" w:rsidP="00CE010A">
      <w:pPr>
        <w:pStyle w:val="a5"/>
        <w:ind w:left="720" w:firstLineChars="0" w:firstLine="0"/>
        <w:rPr>
          <w:rFonts w:ascii="微软雅黑" w:eastAsia="微软雅黑" w:hAnsi="微软雅黑"/>
        </w:rPr>
      </w:pPr>
      <w:r w:rsidRPr="00CE010A">
        <w:rPr>
          <w:rFonts w:ascii="微软雅黑" w:eastAsia="微软雅黑" w:hAnsi="微软雅黑" w:hint="eastAsia"/>
        </w:rPr>
        <w:t>dbRuleArray表示分库条件,tbRuleArray表示分表条件,他们算出来的结果只是一个序号,</w:t>
      </w:r>
      <w:r>
        <w:rPr>
          <w:rFonts w:ascii="微软雅黑" w:eastAsia="微软雅黑" w:hAnsi="微软雅黑" w:hint="eastAsia"/>
        </w:rPr>
        <w:t>比如上图中soccerplayer</w:t>
      </w:r>
      <w:r w:rsidR="006F0488">
        <w:rPr>
          <w:rFonts w:ascii="微软雅黑" w:eastAsia="微软雅黑" w:hAnsi="微软雅黑" w:hint="eastAsia"/>
        </w:rPr>
        <w:t xml:space="preserve"> dbRuleArray算出值为0,那么实际dbKey就是tddl-group-0, tbRuleArray也是一样,如果算出值为10,那么实际表就是 </w:t>
      </w:r>
      <w:r w:rsidR="006F0488">
        <w:rPr>
          <w:rFonts w:ascii="微软雅黑" w:eastAsia="微软雅黑" w:hAnsi="微软雅黑" w:hint="eastAsia"/>
        </w:rPr>
        <w:lastRenderedPageBreak/>
        <w:t>soccerplayer_0010(从0000开始).</w:t>
      </w:r>
    </w:p>
    <w:p w:rsidR="00132F81" w:rsidRDefault="00132F81" w:rsidP="00CE010A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6F0488" w:rsidRDefault="006F0488" w:rsidP="00CE010A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bRuleArray和tbRuleArray实际都是一个List我们可以配置成这样,并且在规则中配上一段代码,以方便应用对分库分表键的一些特殊处理要求,但是需要注意的是,一定要返回一个序号.也就是选db或者选table的序号,并且代码的格式为groovy或者java.如下图</w:t>
      </w:r>
    </w:p>
    <w:p w:rsidR="006F0488" w:rsidRDefault="006F0488" w:rsidP="00512EE1">
      <w:pPr>
        <w:rPr>
          <w:rFonts w:ascii="微软雅黑" w:eastAsia="微软雅黑" w:hAnsi="微软雅黑"/>
        </w:rPr>
      </w:pPr>
      <w:r w:rsidRPr="00512EE1">
        <w:rPr>
          <w:rFonts w:ascii="微软雅黑" w:eastAsia="微软雅黑" w:hAnsi="微软雅黑"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4781550" cy="2447925"/>
            <wp:effectExtent l="19050" t="0" r="0" b="0"/>
            <wp:docPr id="11" name="图片 10" descr="su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C3" w:rsidRPr="00255B7D" w:rsidRDefault="00CB68C3" w:rsidP="00255B7D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6F0488" w:rsidRDefault="006F0488" w:rsidP="00CE010A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规则可以配多个(因为是List),tddl处理逻辑就是看你sql带的分库分表条件符合哪一个规则的分库分表键(##中表示).一次只会选一个,现在最前面的优先级越高.</w:t>
      </w:r>
    </w:p>
    <w:p w:rsidR="00132F81" w:rsidRDefault="00132F81" w:rsidP="00CE010A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132F81" w:rsidRDefault="006F0488" w:rsidP="00CE010A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ample规则中我们常常会看到类似</w:t>
      </w:r>
      <w:r w:rsidRPr="006F0488">
        <w:rPr>
          <w:rFonts w:ascii="微软雅黑" w:eastAsia="微软雅黑" w:hAnsi="微软雅黑" w:hint="eastAsia"/>
          <w:b/>
          <w:color w:val="FF0000"/>
        </w:rPr>
        <w:t>#gmt_create, 1_month,12#</w:t>
      </w:r>
      <w:r>
        <w:rPr>
          <w:rFonts w:ascii="微软雅黑" w:eastAsia="微软雅黑" w:hAnsi="微软雅黑" w:hint="eastAsia"/>
        </w:rPr>
        <w:t>或者</w:t>
      </w:r>
      <w:r w:rsidRPr="006F0488">
        <w:rPr>
          <w:rFonts w:ascii="微软雅黑" w:eastAsia="微软雅黑" w:hAnsi="微软雅黑" w:hint="eastAsia"/>
          <w:b/>
          <w:color w:val="FF0000"/>
        </w:rPr>
        <w:t>#seller_id,1,512#</w:t>
      </w:r>
      <w:r>
        <w:rPr>
          <w:rFonts w:ascii="微软雅黑" w:eastAsia="微软雅黑" w:hAnsi="微软雅黑" w:hint="eastAsia"/>
        </w:rPr>
        <w:t>各位可能会疑惑了,这个1_month和12以及1和512代表什么意思呢? 其实我们的应用常常会做一些范围查询. 比如where gmt_create&gt; now()或者seller_id&gt;0</w:t>
      </w:r>
      <w:r w:rsidR="00132F81">
        <w:rPr>
          <w:rFonts w:ascii="微软雅黑" w:eastAsia="微软雅黑" w:hAnsi="微软雅黑" w:hint="eastAsia"/>
        </w:rPr>
        <w:t>, 对于TDDL来说&gt;这种符号对它来说是毫无意义的,它需要具体的值根据规则去算,那怎么办呢. 通过规则去枚举这些值, 比如gmt_create&gt;now()</w:t>
      </w:r>
    </w:p>
    <w:p w:rsidR="006F0488" w:rsidRDefault="00132F81" w:rsidP="00132F8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首先根据规则知道2个值之间跨度是1_month,也就是1个月</w:t>
      </w:r>
    </w:p>
    <w:p w:rsidR="00132F81" w:rsidRDefault="00132F81" w:rsidP="00132F81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再者知道最大枚举数是12. 那么根据跨度和最大枚举数,然后起始值是现在,比如7月, 那么最终枚举出来的值是 7,8,9,10,11,12,1,2,3,4,5,6 ,然后tddl就可以根据这些值去算路由结果了.</w:t>
      </w:r>
    </w:p>
    <w:p w:rsidR="00D56D8A" w:rsidRDefault="00132F81" w:rsidP="00D56D8A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对于where gmt_create&gt;now() and gmt_create&lt;sometime, 那么这个时候12的最大枚举数就没用了,但是 1_month的跨度还是有效,因为依然要根据这个跨度枚举值.</w:t>
      </w:r>
    </w:p>
    <w:p w:rsidR="006F0488" w:rsidRDefault="00D56D8A" w:rsidP="00343DF8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默认跨度值为实数,也就是不是按时间来枚举的, 如果如上按时间来枚举,那么就需要类似1_date ,1_month,1_year这类的跨度值.</w:t>
      </w:r>
    </w:p>
    <w:p w:rsidR="00343DF8" w:rsidRPr="00343DF8" w:rsidRDefault="00343DF8" w:rsidP="00343DF8">
      <w:pPr>
        <w:ind w:left="720"/>
        <w:rPr>
          <w:rFonts w:ascii="微软雅黑" w:eastAsia="微软雅黑" w:hAnsi="微软雅黑"/>
        </w:rPr>
      </w:pPr>
    </w:p>
    <w:p w:rsidR="00CE010A" w:rsidRPr="00C53FBD" w:rsidRDefault="00C53FBD" w:rsidP="00C53FBD">
      <w:pPr>
        <w:pStyle w:val="3"/>
        <w:rPr>
          <w:rFonts w:ascii="微软雅黑" w:eastAsia="微软雅黑" w:hAnsi="微软雅黑"/>
        </w:rPr>
      </w:pPr>
      <w:bookmarkStart w:id="6" w:name="_Toc303932508"/>
      <w:r>
        <w:rPr>
          <w:rFonts w:ascii="微软雅黑" w:eastAsia="微软雅黑" w:hAnsi="微软雅黑" w:hint="eastAsia"/>
        </w:rPr>
        <w:t xml:space="preserve">1.4 </w:t>
      </w:r>
      <w:r w:rsidR="00CE010A" w:rsidRPr="00C53FBD">
        <w:rPr>
          <w:rFonts w:ascii="微软雅黑" w:eastAsia="微软雅黑" w:hAnsi="微软雅黑" w:hint="eastAsia"/>
        </w:rPr>
        <w:t>2.4.4新规则详解</w:t>
      </w:r>
      <w:bookmarkEnd w:id="6"/>
    </w:p>
    <w:p w:rsidR="00573461" w:rsidRPr="00E449CA" w:rsidRDefault="00FE52D6" w:rsidP="00FE52D6">
      <w:pPr>
        <w:ind w:left="7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新规则需要使用,请具体咨询TDDL相关同学,TDDL-RULE-LE以及动态迁移只支持2.4.4新规则.这里只贴下一个具体的使用案例.基本思想就是规则算出结果就是路由结果,所见即所得</w:t>
      </w:r>
      <w:r w:rsidR="00E449CA">
        <w:rPr>
          <w:rFonts w:ascii="微软雅黑" w:eastAsia="微软雅黑" w:hAnsi="微软雅黑" w:hint="eastAsia"/>
        </w:rPr>
        <w:t xml:space="preserve"> </w:t>
      </w:r>
      <w:r w:rsidR="00E449CA" w:rsidRPr="00E449CA">
        <w:rPr>
          <w:rFonts w:ascii="微软雅黑" w:eastAsia="微软雅黑" w:hAnsi="微软雅黑" w:hint="eastAsia"/>
          <w:b/>
          <w:color w:val="FF0000"/>
        </w:rPr>
        <w:t>注意 : 新规则格式只有tddl-2.4.4之后才会有.</w:t>
      </w:r>
    </w:p>
    <w:p w:rsidR="00FE52D6" w:rsidRDefault="00FE52D6" w:rsidP="00FE52D6">
      <w:pPr>
        <w:ind w:left="7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第一种风格(</w:t>
      </w:r>
      <w:r w:rsidR="00E449CA">
        <w:rPr>
          <w:rFonts w:ascii="微软雅黑" w:eastAsia="微软雅黑" w:hAnsi="微软雅黑" w:hint="eastAsia"/>
          <w:b/>
          <w:color w:val="FF0000"/>
        </w:rPr>
        <w:t>有结果</w:t>
      </w:r>
      <w:r>
        <w:rPr>
          <w:rFonts w:ascii="微软雅黑" w:eastAsia="微软雅黑" w:hAnsi="微软雅黑" w:hint="eastAsia"/>
          <w:b/>
          <w:color w:val="FF0000"/>
        </w:rPr>
        <w:t>格式化)</w:t>
      </w:r>
    </w:p>
    <w:p w:rsidR="00FE52D6" w:rsidRDefault="00FE52D6" w:rsidP="00FE52D6">
      <w:pPr>
        <w:ind w:left="7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noProof/>
          <w:color w:val="FF0000"/>
        </w:rPr>
        <w:drawing>
          <wp:inline distT="0" distB="0" distL="0" distR="0">
            <wp:extent cx="4371975" cy="2133600"/>
            <wp:effectExtent l="19050" t="0" r="9525" b="0"/>
            <wp:docPr id="12" name="图片 11" descr="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599" cy="2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28" w:rsidRPr="00A52FB2" w:rsidRDefault="00B36028" w:rsidP="00B36028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B36028" w:rsidRPr="00B36028" w:rsidRDefault="00B36028" w:rsidP="00FE52D6">
      <w:pPr>
        <w:ind w:left="720"/>
        <w:rPr>
          <w:rFonts w:ascii="微软雅黑" w:eastAsia="微软雅黑" w:hAnsi="微软雅黑"/>
          <w:b/>
          <w:color w:val="FF0000"/>
        </w:rPr>
      </w:pPr>
    </w:p>
    <w:p w:rsidR="00FE52D6" w:rsidRDefault="00FE52D6" w:rsidP="00FE52D6">
      <w:pPr>
        <w:ind w:left="7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第二种风格(完全所见所得)</w:t>
      </w:r>
    </w:p>
    <w:p w:rsidR="00FE52D6" w:rsidRDefault="00FE52D6" w:rsidP="00FE52D6">
      <w:pPr>
        <w:ind w:left="72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/>
          <w:b/>
          <w:noProof/>
          <w:color w:val="FF0000"/>
        </w:rPr>
        <w:drawing>
          <wp:inline distT="0" distB="0" distL="0" distR="0">
            <wp:extent cx="4694626" cy="2190750"/>
            <wp:effectExtent l="19050" t="0" r="0" b="0"/>
            <wp:docPr id="13" name="图片 12" descr="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905" cy="21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6E" w:rsidRPr="00A52FB2" w:rsidRDefault="00FF2B6E" w:rsidP="00FF2B6E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FF2B6E" w:rsidRPr="00FF2B6E" w:rsidRDefault="00FF2B6E" w:rsidP="00FE52D6">
      <w:pPr>
        <w:ind w:left="720"/>
        <w:rPr>
          <w:rFonts w:ascii="微软雅黑" w:eastAsia="微软雅黑" w:hAnsi="微软雅黑"/>
          <w:b/>
          <w:color w:val="FF0000"/>
        </w:rPr>
      </w:pPr>
    </w:p>
    <w:p w:rsidR="004247E1" w:rsidRPr="00BB3F66" w:rsidRDefault="00C53FBD" w:rsidP="00BB3F66">
      <w:pPr>
        <w:pStyle w:val="2"/>
        <w:rPr>
          <w:rFonts w:ascii="微软雅黑" w:eastAsia="微软雅黑" w:hAnsi="微软雅黑"/>
        </w:rPr>
      </w:pPr>
      <w:bookmarkStart w:id="7" w:name="_Toc303932509"/>
      <w:r>
        <w:rPr>
          <w:rFonts w:ascii="微软雅黑" w:eastAsia="微软雅黑" w:hAnsi="微软雅黑" w:hint="eastAsia"/>
        </w:rPr>
        <w:t xml:space="preserve">2. </w:t>
      </w:r>
      <w:r w:rsidR="004247E1" w:rsidRPr="00BB3F66">
        <w:rPr>
          <w:rFonts w:ascii="微软雅黑" w:eastAsia="微软雅黑" w:hAnsi="微软雅黑" w:hint="eastAsia"/>
        </w:rPr>
        <w:t>不使用分库分表,将一个DBCP数据升级为一个</w:t>
      </w:r>
      <w:r w:rsidR="008E414B" w:rsidRPr="00BB3F66">
        <w:rPr>
          <w:rFonts w:ascii="微软雅黑" w:eastAsia="微软雅黑" w:hAnsi="微软雅黑" w:hint="eastAsia"/>
        </w:rPr>
        <w:t xml:space="preserve">Atom </w:t>
      </w:r>
      <w:r w:rsidR="004247E1" w:rsidRPr="00BB3F66">
        <w:rPr>
          <w:rFonts w:ascii="微软雅黑" w:eastAsia="微软雅黑" w:hAnsi="微软雅黑" w:hint="eastAsia"/>
        </w:rPr>
        <w:t>DataSource</w:t>
      </w:r>
      <w:bookmarkEnd w:id="7"/>
    </w:p>
    <w:p w:rsidR="004247E1" w:rsidRPr="00BF3C29" w:rsidRDefault="00134538" w:rsidP="004247E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BF3C29">
        <w:rPr>
          <w:rFonts w:ascii="微软雅黑" w:eastAsia="微软雅黑" w:hAnsi="微软雅黑" w:hint="eastAsia"/>
          <w:b/>
        </w:rPr>
        <w:t>Example</w:t>
      </w:r>
    </w:p>
    <w:p w:rsidR="00134538" w:rsidRDefault="00C932C9" w:rsidP="00134538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688340"/>
            <wp:effectExtent l="19050" t="0" r="2540" b="0"/>
            <wp:docPr id="2" name="图片 15" descr="t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B8" w:rsidRPr="00377C7B" w:rsidRDefault="00646FB8" w:rsidP="00377C7B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5B1B55" w:rsidRDefault="005B1B55" w:rsidP="005B1B55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appName即应用的名称,主要和其他应用区别开,dbKey即atom ds在持久配置中心的key(让dba协同配置)</w:t>
      </w:r>
    </w:p>
    <w:p w:rsidR="00B330B9" w:rsidRPr="005B1B55" w:rsidRDefault="00B330B9" w:rsidP="00A859B7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4247E1" w:rsidRPr="00BB3F66" w:rsidRDefault="00C53FBD" w:rsidP="00BB3F66">
      <w:pPr>
        <w:pStyle w:val="2"/>
        <w:rPr>
          <w:rFonts w:ascii="微软雅黑" w:eastAsia="微软雅黑" w:hAnsi="微软雅黑"/>
        </w:rPr>
      </w:pPr>
      <w:bookmarkStart w:id="8" w:name="_Toc303932510"/>
      <w:r>
        <w:rPr>
          <w:rFonts w:ascii="微软雅黑" w:eastAsia="微软雅黑" w:hAnsi="微软雅黑" w:hint="eastAsia"/>
        </w:rPr>
        <w:t xml:space="preserve">3. </w:t>
      </w:r>
      <w:r w:rsidR="004247E1" w:rsidRPr="00BB3F66">
        <w:rPr>
          <w:rFonts w:ascii="微软雅黑" w:eastAsia="微软雅黑" w:hAnsi="微软雅黑" w:hint="eastAsia"/>
        </w:rPr>
        <w:t xml:space="preserve">不使用分库分表,将一个DBCP数据升级为一个 </w:t>
      </w:r>
      <w:r w:rsidR="008E414B" w:rsidRPr="00BB3F66">
        <w:rPr>
          <w:rFonts w:ascii="微软雅黑" w:eastAsia="微软雅黑" w:hAnsi="微软雅黑" w:hint="eastAsia"/>
        </w:rPr>
        <w:t xml:space="preserve">Group </w:t>
      </w:r>
      <w:r w:rsidR="004247E1" w:rsidRPr="00BB3F66">
        <w:rPr>
          <w:rFonts w:ascii="微软雅黑" w:eastAsia="微软雅黑" w:hAnsi="微软雅黑" w:hint="eastAsia"/>
        </w:rPr>
        <w:t>DataSource</w:t>
      </w:r>
      <w:bookmarkEnd w:id="8"/>
    </w:p>
    <w:p w:rsidR="00577758" w:rsidRPr="00BF3C29" w:rsidRDefault="00134538" w:rsidP="000676D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BF3C29">
        <w:rPr>
          <w:rFonts w:ascii="微软雅黑" w:eastAsia="微软雅黑" w:hAnsi="微软雅黑" w:hint="eastAsia"/>
          <w:b/>
        </w:rPr>
        <w:t>Example</w:t>
      </w:r>
    </w:p>
    <w:p w:rsidR="000676DC" w:rsidRDefault="00C932C9" w:rsidP="000676DC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709295"/>
            <wp:effectExtent l="19050" t="0" r="2540" b="0"/>
            <wp:docPr id="9" name="图片 13" descr="g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s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E" w:rsidRPr="0000728E" w:rsidRDefault="0000728E" w:rsidP="0000728E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5B1B55" w:rsidRDefault="005B1B55" w:rsidP="005B1B55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appName即应用的名称,主要和其他应用区别开,dbGroupKey就是group ds在持久配置中心的key(让dba协同配置)</w:t>
      </w:r>
    </w:p>
    <w:p w:rsidR="00B330B9" w:rsidRPr="005B1B55" w:rsidRDefault="00B330B9" w:rsidP="00B330B9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573461" w:rsidRPr="00BB3F66" w:rsidRDefault="00C53FBD" w:rsidP="00BB3F66">
      <w:pPr>
        <w:pStyle w:val="2"/>
        <w:rPr>
          <w:rFonts w:ascii="微软雅黑" w:eastAsia="微软雅黑" w:hAnsi="微软雅黑"/>
        </w:rPr>
      </w:pPr>
      <w:bookmarkStart w:id="9" w:name="_Toc303932511"/>
      <w:r>
        <w:rPr>
          <w:rFonts w:ascii="微软雅黑" w:eastAsia="微软雅黑" w:hAnsi="微软雅黑" w:hint="eastAsia"/>
        </w:rPr>
        <w:t xml:space="preserve">4. </w:t>
      </w:r>
      <w:r w:rsidR="00573461" w:rsidRPr="00BB3F66">
        <w:rPr>
          <w:rFonts w:ascii="微软雅黑" w:eastAsia="微软雅黑" w:hAnsi="微软雅黑" w:hint="eastAsia"/>
        </w:rPr>
        <w:t>使用tddl-sequence</w:t>
      </w:r>
      <w:bookmarkEnd w:id="9"/>
    </w:p>
    <w:p w:rsidR="00573461" w:rsidRPr="00C53FBD" w:rsidRDefault="00C53FBD" w:rsidP="00C53FBD">
      <w:pPr>
        <w:pStyle w:val="3"/>
        <w:rPr>
          <w:rFonts w:ascii="微软雅黑" w:eastAsia="微软雅黑" w:hAnsi="微软雅黑"/>
        </w:rPr>
      </w:pPr>
      <w:bookmarkStart w:id="10" w:name="_Toc303932512"/>
      <w:r>
        <w:rPr>
          <w:rFonts w:ascii="微软雅黑" w:eastAsia="微软雅黑" w:hAnsi="微软雅黑" w:hint="eastAsia"/>
        </w:rPr>
        <w:t xml:space="preserve">4.1 </w:t>
      </w:r>
      <w:r w:rsidR="00573461" w:rsidRPr="00C53FBD">
        <w:rPr>
          <w:rFonts w:ascii="微软雅黑" w:eastAsia="微软雅黑" w:hAnsi="微软雅黑" w:hint="eastAsia"/>
        </w:rPr>
        <w:t>原理</w:t>
      </w:r>
      <w:bookmarkEnd w:id="10"/>
    </w:p>
    <w:p w:rsidR="00573461" w:rsidRDefault="00845D53" w:rsidP="00573461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ddl sequence有两种实现,一个是DefaultSequenceDao,另外一个是GroupSequenceDao. 两者的区别在与前者是sequence表只支持单库排布,后者支持多库排布,具有更好的容灾策略以及默认使用动态数据源.所以这边只介绍GroupSequenceDao, 如需要使用DefaultSequenceDao,请找我们,当然我们还是会推荐您使用GroupSequenceDao.</w:t>
      </w:r>
    </w:p>
    <w:p w:rsidR="00845D53" w:rsidRPr="00845D53" w:rsidRDefault="00845D53" w:rsidP="00845D53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GroupSequenceDao原理在于我们将sequence的数据段放在多个机器上,并且按照规则中的步长相互错开,确保不重合. 举个例子,我需要一个 sample_sequence, 然后sequence数据放在 sample_group_0,sample_group_1,sample_group_2, sample_group_3 四组机器上.并且配置文件中规定步长为1000,也就是客户端每次拿1000.那么起始的时候,4个group上的sequence初始值为</w:t>
      </w:r>
    </w:p>
    <w:tbl>
      <w:tblPr>
        <w:tblStyle w:val="a8"/>
        <w:tblW w:w="0" w:type="auto"/>
        <w:tblInd w:w="720" w:type="dxa"/>
        <w:tblLook w:val="04A0"/>
      </w:tblPr>
      <w:tblGrid>
        <w:gridCol w:w="3970"/>
        <w:gridCol w:w="3832"/>
      </w:tblGrid>
      <w:tr w:rsidR="00845D53" w:rsidTr="00845D53"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sample_group_0</w:t>
            </w:r>
          </w:p>
        </w:tc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45D53" w:rsidTr="00845D53"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sample_group_1</w:t>
            </w:r>
          </w:p>
        </w:tc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1000</w:t>
            </w:r>
          </w:p>
        </w:tc>
      </w:tr>
      <w:tr w:rsidR="00845D53" w:rsidTr="00845D53"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sample_group_2</w:t>
            </w:r>
          </w:p>
        </w:tc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2000</w:t>
            </w:r>
          </w:p>
        </w:tc>
      </w:tr>
      <w:tr w:rsidR="00845D53" w:rsidTr="00845D53"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sample_group_3</w:t>
            </w:r>
          </w:p>
        </w:tc>
        <w:tc>
          <w:tcPr>
            <w:tcW w:w="4261" w:type="dxa"/>
          </w:tcPr>
          <w:p w:rsidR="00845D53" w:rsidRDefault="00845D53" w:rsidP="00573461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3000</w:t>
            </w:r>
          </w:p>
        </w:tc>
      </w:tr>
    </w:tbl>
    <w:p w:rsidR="00845D53" w:rsidRPr="002E2BD0" w:rsidRDefault="00845D53" w:rsidP="00573461">
      <w:pPr>
        <w:pStyle w:val="a5"/>
        <w:ind w:left="720"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那么应用真正启动的时候,可能某一台机器上去取sequence,随机取到了sample_group_1,那么这台机器上的应用会拿到1000-1999这一千个id,而这个时候4个group上sequence会变成</w:t>
      </w:r>
      <w:r w:rsidR="001E7014">
        <w:rPr>
          <w:rFonts w:ascii="微软雅黑" w:eastAsia="微软雅黑" w:hAnsi="微软雅黑" w:hint="eastAsia"/>
        </w:rPr>
        <w:t>下图所示,你也许注意到了,下次从sample_group_1上取得的id就变成了5000-5999. 那么也就是这样,完全避免了多机上取sequence的重复.比如</w:t>
      </w:r>
      <w:r w:rsidR="001E7014" w:rsidRPr="002E2BD0">
        <w:rPr>
          <w:rFonts w:ascii="微软雅黑" w:eastAsia="微软雅黑" w:hAnsi="微软雅黑" w:hint="eastAsia"/>
          <w:color w:val="FF0000"/>
        </w:rPr>
        <w:t>sample_group_1他会永远只会取到1000-1999,5000-5999,9000-9999,13000-13999</w:t>
      </w:r>
      <w:r w:rsidR="001E7014" w:rsidRPr="002E2BD0">
        <w:rPr>
          <w:rFonts w:ascii="微软雅黑" w:eastAsia="微软雅黑" w:hAnsi="微软雅黑"/>
          <w:color w:val="FF0000"/>
        </w:rPr>
        <w:t>…</w:t>
      </w:r>
      <w:r w:rsidR="001E7014" w:rsidRPr="002E2BD0">
        <w:rPr>
          <w:rFonts w:ascii="微软雅黑" w:eastAsia="微软雅黑" w:hAnsi="微软雅黑" w:hint="eastAsia"/>
          <w:color w:val="FF0000"/>
        </w:rPr>
        <w:t>其他group也一样,相互不会重叠.</w:t>
      </w:r>
    </w:p>
    <w:tbl>
      <w:tblPr>
        <w:tblStyle w:val="a8"/>
        <w:tblW w:w="0" w:type="auto"/>
        <w:tblInd w:w="720" w:type="dxa"/>
        <w:tblLook w:val="04A0"/>
      </w:tblPr>
      <w:tblGrid>
        <w:gridCol w:w="3970"/>
        <w:gridCol w:w="3832"/>
      </w:tblGrid>
      <w:tr w:rsidR="00845D53" w:rsidTr="008C5180"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sample_group_0</w:t>
            </w:r>
          </w:p>
        </w:tc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45D53" w:rsidTr="008C5180"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sample_group_1</w:t>
            </w:r>
          </w:p>
        </w:tc>
        <w:tc>
          <w:tcPr>
            <w:tcW w:w="4261" w:type="dxa"/>
          </w:tcPr>
          <w:p w:rsidR="00845D53" w:rsidRPr="001E7014" w:rsidRDefault="001E7014" w:rsidP="008C5180">
            <w:pPr>
              <w:pStyle w:val="a5"/>
              <w:ind w:firstLineChars="0" w:firstLine="0"/>
              <w:rPr>
                <w:rFonts w:ascii="微软雅黑" w:eastAsia="微软雅黑" w:hAnsi="微软雅黑"/>
                <w:color w:val="FF0000"/>
              </w:rPr>
            </w:pPr>
            <w:r w:rsidRPr="001E7014">
              <w:rPr>
                <w:rFonts w:ascii="微软雅黑" w:eastAsia="微软雅黑" w:hAnsi="微软雅黑" w:hint="eastAsia"/>
                <w:color w:val="FF0000"/>
              </w:rPr>
              <w:t>5</w:t>
            </w:r>
            <w:r w:rsidR="00845D53" w:rsidRPr="001E7014">
              <w:rPr>
                <w:rFonts w:ascii="微软雅黑" w:eastAsia="微软雅黑" w:hAnsi="微软雅黑" w:hint="eastAsia"/>
                <w:color w:val="FF0000"/>
              </w:rPr>
              <w:t>000</w:t>
            </w:r>
          </w:p>
        </w:tc>
      </w:tr>
      <w:tr w:rsidR="00845D53" w:rsidTr="008C5180"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sample_group_2</w:t>
            </w:r>
          </w:p>
        </w:tc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2000</w:t>
            </w:r>
          </w:p>
        </w:tc>
      </w:tr>
      <w:tr w:rsidR="00845D53" w:rsidTr="008C5180"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sample_group_3</w:t>
            </w:r>
          </w:p>
        </w:tc>
        <w:tc>
          <w:tcPr>
            <w:tcW w:w="4261" w:type="dxa"/>
          </w:tcPr>
          <w:p w:rsidR="00845D53" w:rsidRDefault="00845D53" w:rsidP="008C5180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3000</w:t>
            </w:r>
          </w:p>
        </w:tc>
      </w:tr>
    </w:tbl>
    <w:p w:rsidR="00845D53" w:rsidRPr="00A52FB2" w:rsidRDefault="00845D53" w:rsidP="00A52FB2">
      <w:pPr>
        <w:rPr>
          <w:rFonts w:ascii="微软雅黑" w:eastAsia="微软雅黑" w:hAnsi="微软雅黑"/>
        </w:rPr>
      </w:pPr>
    </w:p>
    <w:p w:rsidR="00573461" w:rsidRPr="00C53FBD" w:rsidRDefault="00C53FBD" w:rsidP="00C53FBD">
      <w:pPr>
        <w:pStyle w:val="3"/>
        <w:rPr>
          <w:rFonts w:ascii="微软雅黑" w:eastAsia="微软雅黑" w:hAnsi="微软雅黑"/>
        </w:rPr>
      </w:pPr>
      <w:bookmarkStart w:id="11" w:name="_Toc303932513"/>
      <w:r>
        <w:rPr>
          <w:rFonts w:ascii="微软雅黑" w:eastAsia="微软雅黑" w:hAnsi="微软雅黑" w:hint="eastAsia"/>
        </w:rPr>
        <w:t xml:space="preserve">4.2 </w:t>
      </w:r>
      <w:r w:rsidR="00573461" w:rsidRPr="00C53FBD">
        <w:rPr>
          <w:rFonts w:ascii="微软雅黑" w:eastAsia="微软雅黑" w:hAnsi="微软雅黑" w:hint="eastAsia"/>
        </w:rPr>
        <w:t>使用</w:t>
      </w:r>
      <w:bookmarkEnd w:id="11"/>
    </w:p>
    <w:p w:rsidR="00A97BA0" w:rsidRDefault="00393D07" w:rsidP="00A97BA0">
      <w:pPr>
        <w:pStyle w:val="a5"/>
        <w:ind w:left="720" w:firstLineChars="0" w:firstLine="0"/>
        <w:rPr>
          <w:rFonts w:ascii="微软雅黑" w:eastAsia="微软雅黑" w:hAnsi="微软雅黑"/>
        </w:rPr>
      </w:pPr>
      <w:r w:rsidRPr="00393D07">
        <w:rPr>
          <w:rFonts w:ascii="微软雅黑" w:eastAsia="微软雅黑" w:hAnsi="微软雅黑" w:hint="eastAsia"/>
          <w:b/>
        </w:rPr>
        <w:t>第一步</w:t>
      </w:r>
      <w:r>
        <w:rPr>
          <w:rFonts w:ascii="微软雅黑" w:eastAsia="微软雅黑" w:hAnsi="微软雅黑" w:hint="eastAsia"/>
        </w:rPr>
        <w:t>:</w:t>
      </w:r>
      <w:r w:rsidR="00A97BA0">
        <w:rPr>
          <w:rFonts w:ascii="微软雅黑" w:eastAsia="微软雅黑" w:hAnsi="微软雅黑" w:hint="eastAsia"/>
        </w:rPr>
        <w:t>定义一个tddl-sequence.xml(当然你和别的配置混合在一起也没事,但我们建议分开).如下图.</w:t>
      </w:r>
    </w:p>
    <w:p w:rsidR="00A97BA0" w:rsidRDefault="00A97BA0" w:rsidP="00A97BA0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</w:rPr>
      </w:pPr>
      <w:r w:rsidRPr="00A97BA0">
        <w:rPr>
          <w:rFonts w:ascii="微软雅黑" w:eastAsia="微软雅黑" w:hAnsi="微软雅黑" w:hint="eastAsia"/>
          <w:b/>
          <w:color w:val="FF0000"/>
        </w:rPr>
        <w:t>(1)</w:t>
      </w:r>
      <w:r>
        <w:rPr>
          <w:rFonts w:ascii="微软雅黑" w:eastAsia="微软雅黑" w:hAnsi="微软雅黑" w:hint="eastAsia"/>
          <w:b/>
          <w:color w:val="FF0000"/>
        </w:rPr>
        <w:t xml:space="preserve"> 这些property指定需要建的表名,以及表中的一些字段</w:t>
      </w:r>
    </w:p>
    <w:p w:rsidR="00A97BA0" w:rsidRDefault="00A97BA0" w:rsidP="00A97BA0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(2) 这个property指定需要从sequence表中的哪条记录读取.因为可能一张sequence表中有多个表的sequence生成数据,所以采用name区分</w:t>
      </w:r>
    </w:p>
    <w:p w:rsidR="004F3DB2" w:rsidRPr="004F3DB2" w:rsidRDefault="00A97BA0" w:rsidP="004F3DB2">
      <w:pPr>
        <w:pStyle w:val="a5"/>
        <w:ind w:left="720" w:firstLineChars="0" w:firstLine="0"/>
        <w:rPr>
          <w:rFonts w:ascii="微软雅黑" w:eastAsia="微软雅黑" w:hAnsi="微软雅黑"/>
          <w:b/>
        </w:rPr>
      </w:pPr>
      <w:r w:rsidRPr="00A97BA0">
        <w:rPr>
          <w:rFonts w:ascii="微软雅黑" w:eastAsia="微软雅黑" w:hAnsi="微软雅黑" w:hint="eastAsia"/>
          <w:b/>
        </w:rPr>
        <w:t>以上</w:t>
      </w:r>
      <w:r>
        <w:rPr>
          <w:rFonts w:ascii="微软雅黑" w:eastAsia="微软雅黑" w:hAnsi="微软雅黑" w:hint="eastAsia"/>
          <w:b/>
        </w:rPr>
        <w:t>两点可以结合接下来</w:t>
      </w:r>
      <w:r w:rsidR="00393D07">
        <w:rPr>
          <w:rFonts w:ascii="微软雅黑" w:eastAsia="微软雅黑" w:hAnsi="微软雅黑" w:hint="eastAsia"/>
          <w:b/>
        </w:rPr>
        <w:t>第二步中</w:t>
      </w:r>
      <w:r>
        <w:rPr>
          <w:rFonts w:ascii="微软雅黑" w:eastAsia="微软雅黑" w:hAnsi="微软雅黑" w:hint="eastAsia"/>
          <w:b/>
        </w:rPr>
        <w:t>的sequence表</w:t>
      </w:r>
      <w:r w:rsidR="008A38A3">
        <w:rPr>
          <w:rFonts w:ascii="微软雅黑" w:eastAsia="微软雅黑" w:hAnsi="微软雅黑" w:hint="eastAsia"/>
          <w:b/>
        </w:rPr>
        <w:t>截图进行对比.</w:t>
      </w:r>
    </w:p>
    <w:p w:rsidR="00A97BA0" w:rsidRDefault="00A52FB2" w:rsidP="00A97BA0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991100" cy="4486342"/>
            <wp:effectExtent l="19050" t="0" r="0" b="0"/>
            <wp:docPr id="15" name="图片 14" descr="r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B2" w:rsidRPr="00A52FB2" w:rsidRDefault="00A52FB2" w:rsidP="00A52FB2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A52FB2" w:rsidRPr="00A52FB2" w:rsidRDefault="00A52FB2" w:rsidP="00A97BA0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A97BA0" w:rsidRDefault="00393D07" w:rsidP="00A97BA0">
      <w:pPr>
        <w:pStyle w:val="a5"/>
        <w:ind w:left="720" w:firstLineChars="0" w:firstLine="0"/>
        <w:rPr>
          <w:rFonts w:ascii="微软雅黑" w:eastAsia="微软雅黑" w:hAnsi="微软雅黑"/>
        </w:rPr>
      </w:pPr>
      <w:r w:rsidRPr="00393D07">
        <w:rPr>
          <w:rFonts w:ascii="微软雅黑" w:eastAsia="微软雅黑" w:hAnsi="微软雅黑" w:hint="eastAsia"/>
          <w:b/>
        </w:rPr>
        <w:t>第二步</w:t>
      </w:r>
      <w:r>
        <w:rPr>
          <w:rFonts w:ascii="微软雅黑" w:eastAsia="微软雅黑" w:hAnsi="微软雅黑" w:hint="eastAsia"/>
        </w:rPr>
        <w:t>:</w:t>
      </w:r>
      <w:r w:rsidR="00A97BA0">
        <w:rPr>
          <w:rFonts w:ascii="微软雅黑" w:eastAsia="微软雅黑" w:hAnsi="微软雅黑" w:hint="eastAsia"/>
        </w:rPr>
        <w:t>在对应的数据库中建sequence表.如下图</w:t>
      </w:r>
    </w:p>
    <w:p w:rsidR="008A38A3" w:rsidRDefault="008A38A3" w:rsidP="00393D07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775970"/>
            <wp:effectExtent l="19050" t="0" r="2540" b="0"/>
            <wp:docPr id="19" name="图片 18" descr="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B2" w:rsidRPr="00A52FB2" w:rsidRDefault="00A52FB2" w:rsidP="00A52FB2">
      <w:pPr>
        <w:pStyle w:val="a5"/>
        <w:ind w:left="72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52FB2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注意!:文档中的参数都属于参考值. 线上发布参数配置请具体询问TDDL的运维同学</w:t>
      </w:r>
    </w:p>
    <w:p w:rsidR="00393D07" w:rsidRPr="00393D07" w:rsidRDefault="00393D07" w:rsidP="00393D07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上一步中标红的name property中的value即表中name字段对应值. value对应的值即sequence的当前分配值</w:t>
      </w:r>
    </w:p>
    <w:p w:rsidR="00DD3D07" w:rsidRPr="00577758" w:rsidRDefault="00DD3D07">
      <w:pPr>
        <w:rPr>
          <w:rFonts w:ascii="微软雅黑" w:eastAsia="微软雅黑" w:hAnsi="微软雅黑"/>
        </w:rPr>
      </w:pPr>
    </w:p>
    <w:sectPr w:rsidR="00DD3D07" w:rsidRPr="00577758" w:rsidSect="00AF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390" w:rsidRDefault="00B96390" w:rsidP="00DD3D07">
      <w:r>
        <w:separator/>
      </w:r>
    </w:p>
  </w:endnote>
  <w:endnote w:type="continuationSeparator" w:id="0">
    <w:p w:rsidR="00B96390" w:rsidRDefault="00B96390" w:rsidP="00DD3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390" w:rsidRDefault="00B96390" w:rsidP="00DD3D07">
      <w:r>
        <w:separator/>
      </w:r>
    </w:p>
  </w:footnote>
  <w:footnote w:type="continuationSeparator" w:id="0">
    <w:p w:rsidR="00B96390" w:rsidRDefault="00B96390" w:rsidP="00DD3D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5E98"/>
    <w:multiLevelType w:val="hybridMultilevel"/>
    <w:tmpl w:val="38DEEFC8"/>
    <w:lvl w:ilvl="0" w:tplc="339C6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906DE"/>
    <w:multiLevelType w:val="hybridMultilevel"/>
    <w:tmpl w:val="E64E041C"/>
    <w:lvl w:ilvl="0" w:tplc="1E16A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4B55B2"/>
    <w:multiLevelType w:val="hybridMultilevel"/>
    <w:tmpl w:val="D1CAE304"/>
    <w:lvl w:ilvl="0" w:tplc="CB284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F66AFD"/>
    <w:multiLevelType w:val="hybridMultilevel"/>
    <w:tmpl w:val="76C25150"/>
    <w:lvl w:ilvl="0" w:tplc="16FE65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D46B1"/>
    <w:multiLevelType w:val="hybridMultilevel"/>
    <w:tmpl w:val="6980BA9A"/>
    <w:lvl w:ilvl="0" w:tplc="DFFC5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A102C23"/>
    <w:multiLevelType w:val="hybridMultilevel"/>
    <w:tmpl w:val="BC9ADCB0"/>
    <w:lvl w:ilvl="0" w:tplc="1892E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1B64411"/>
    <w:multiLevelType w:val="hybridMultilevel"/>
    <w:tmpl w:val="45869822"/>
    <w:lvl w:ilvl="0" w:tplc="C8F2A78C">
      <w:start w:val="1"/>
      <w:numFmt w:val="decimal"/>
      <w:lvlText w:val="(%1)"/>
      <w:lvlJc w:val="left"/>
      <w:pPr>
        <w:ind w:left="99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5216F76"/>
    <w:multiLevelType w:val="hybridMultilevel"/>
    <w:tmpl w:val="6F546520"/>
    <w:lvl w:ilvl="0" w:tplc="E4145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D07"/>
    <w:rsid w:val="0000728E"/>
    <w:rsid w:val="000676DC"/>
    <w:rsid w:val="000810C4"/>
    <w:rsid w:val="000C1BFE"/>
    <w:rsid w:val="00132D71"/>
    <w:rsid w:val="00132F81"/>
    <w:rsid w:val="00134538"/>
    <w:rsid w:val="0016782F"/>
    <w:rsid w:val="001E7014"/>
    <w:rsid w:val="001F542A"/>
    <w:rsid w:val="002168B0"/>
    <w:rsid w:val="00255B7D"/>
    <w:rsid w:val="0028638C"/>
    <w:rsid w:val="00294CDF"/>
    <w:rsid w:val="002E2BD0"/>
    <w:rsid w:val="00332E37"/>
    <w:rsid w:val="00343DF8"/>
    <w:rsid w:val="00377C7B"/>
    <w:rsid w:val="003816F1"/>
    <w:rsid w:val="00391A90"/>
    <w:rsid w:val="00393D07"/>
    <w:rsid w:val="003B22C6"/>
    <w:rsid w:val="003B5996"/>
    <w:rsid w:val="003C6279"/>
    <w:rsid w:val="003F65E6"/>
    <w:rsid w:val="00423609"/>
    <w:rsid w:val="004247E1"/>
    <w:rsid w:val="00432EEB"/>
    <w:rsid w:val="00455E5A"/>
    <w:rsid w:val="004C1FBF"/>
    <w:rsid w:val="004F3DB2"/>
    <w:rsid w:val="00512EE1"/>
    <w:rsid w:val="00520C2A"/>
    <w:rsid w:val="00573461"/>
    <w:rsid w:val="00577758"/>
    <w:rsid w:val="00591597"/>
    <w:rsid w:val="005A6BD7"/>
    <w:rsid w:val="005B1B55"/>
    <w:rsid w:val="00616D03"/>
    <w:rsid w:val="00637A2F"/>
    <w:rsid w:val="00646FB8"/>
    <w:rsid w:val="00657C93"/>
    <w:rsid w:val="006635F0"/>
    <w:rsid w:val="006C0A07"/>
    <w:rsid w:val="006C1D68"/>
    <w:rsid w:val="006F0488"/>
    <w:rsid w:val="00756E94"/>
    <w:rsid w:val="007A4798"/>
    <w:rsid w:val="007F3C45"/>
    <w:rsid w:val="00845D53"/>
    <w:rsid w:val="00873639"/>
    <w:rsid w:val="00882A02"/>
    <w:rsid w:val="008A38A3"/>
    <w:rsid w:val="008C15C9"/>
    <w:rsid w:val="008E414B"/>
    <w:rsid w:val="009773BF"/>
    <w:rsid w:val="00A0369E"/>
    <w:rsid w:val="00A425B3"/>
    <w:rsid w:val="00A528F5"/>
    <w:rsid w:val="00A52FB2"/>
    <w:rsid w:val="00A63D47"/>
    <w:rsid w:val="00A658BE"/>
    <w:rsid w:val="00A859B7"/>
    <w:rsid w:val="00A95632"/>
    <w:rsid w:val="00A97BA0"/>
    <w:rsid w:val="00AF1C2D"/>
    <w:rsid w:val="00B044E3"/>
    <w:rsid w:val="00B208A8"/>
    <w:rsid w:val="00B275A9"/>
    <w:rsid w:val="00B330B9"/>
    <w:rsid w:val="00B36028"/>
    <w:rsid w:val="00B60E09"/>
    <w:rsid w:val="00B94527"/>
    <w:rsid w:val="00B96390"/>
    <w:rsid w:val="00BB1DCC"/>
    <w:rsid w:val="00BB3F66"/>
    <w:rsid w:val="00BB64C2"/>
    <w:rsid w:val="00BE7C2C"/>
    <w:rsid w:val="00BF3C29"/>
    <w:rsid w:val="00C1797C"/>
    <w:rsid w:val="00C53FBD"/>
    <w:rsid w:val="00C718E1"/>
    <w:rsid w:val="00C73CCD"/>
    <w:rsid w:val="00C9047A"/>
    <w:rsid w:val="00C932C9"/>
    <w:rsid w:val="00CB216A"/>
    <w:rsid w:val="00CB68C3"/>
    <w:rsid w:val="00CE010A"/>
    <w:rsid w:val="00D33E7A"/>
    <w:rsid w:val="00D36272"/>
    <w:rsid w:val="00D56D8A"/>
    <w:rsid w:val="00D96364"/>
    <w:rsid w:val="00DD3D07"/>
    <w:rsid w:val="00E34CDE"/>
    <w:rsid w:val="00E449CA"/>
    <w:rsid w:val="00EC76EB"/>
    <w:rsid w:val="00ED64A9"/>
    <w:rsid w:val="00F276A8"/>
    <w:rsid w:val="00F578DD"/>
    <w:rsid w:val="00FB4A72"/>
    <w:rsid w:val="00FE52D6"/>
    <w:rsid w:val="00FF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C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3F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D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D07"/>
    <w:rPr>
      <w:sz w:val="18"/>
      <w:szCs w:val="18"/>
    </w:rPr>
  </w:style>
  <w:style w:type="paragraph" w:styleId="a5">
    <w:name w:val="List Paragraph"/>
    <w:basedOn w:val="a"/>
    <w:uiPriority w:val="34"/>
    <w:qFormat/>
    <w:rsid w:val="00DD3D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3E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3E7A"/>
    <w:rPr>
      <w:sz w:val="18"/>
      <w:szCs w:val="18"/>
    </w:rPr>
  </w:style>
  <w:style w:type="character" w:styleId="a7">
    <w:name w:val="Hyperlink"/>
    <w:basedOn w:val="a0"/>
    <w:uiPriority w:val="99"/>
    <w:unhideWhenUsed/>
    <w:rsid w:val="002168B0"/>
    <w:rPr>
      <w:color w:val="0000FF"/>
      <w:u w:val="single"/>
    </w:rPr>
  </w:style>
  <w:style w:type="table" w:styleId="a8">
    <w:name w:val="Table Grid"/>
    <w:basedOn w:val="a1"/>
    <w:uiPriority w:val="59"/>
    <w:rsid w:val="00845D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B3F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3F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53F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FBD"/>
  </w:style>
  <w:style w:type="paragraph" w:styleId="20">
    <w:name w:val="toc 2"/>
    <w:basedOn w:val="a"/>
    <w:next w:val="a"/>
    <w:autoRedefine/>
    <w:uiPriority w:val="39"/>
    <w:unhideWhenUsed/>
    <w:rsid w:val="00C53FBD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C53FBD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53FBD"/>
    <w:pPr>
      <w:ind w:leftChars="400" w:left="840"/>
    </w:pPr>
  </w:style>
  <w:style w:type="character" w:customStyle="1" w:styleId="apple-style-span">
    <w:name w:val="apple-style-span"/>
    <w:basedOn w:val="a0"/>
    <w:rsid w:val="00294C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ops.jm.taobao.net/rtools/jade/jade_global.htm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53B2-A366-42FA-8B6B-B92EF286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900</Words>
  <Characters>5136</Characters>
  <Application>Microsoft Office Word</Application>
  <DocSecurity>0</DocSecurity>
  <Lines>42</Lines>
  <Paragraphs>12</Paragraphs>
  <ScaleCrop>false</ScaleCrop>
  <Company>Alibaba</Company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君瑜</dc:creator>
  <cp:keywords/>
  <dc:description/>
  <cp:lastModifiedBy>君瑜</cp:lastModifiedBy>
  <cp:revision>95</cp:revision>
  <dcterms:created xsi:type="dcterms:W3CDTF">2011-07-04T01:40:00Z</dcterms:created>
  <dcterms:modified xsi:type="dcterms:W3CDTF">2011-09-28T02:34:00Z</dcterms:modified>
</cp:coreProperties>
</file>