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D58AC" w:rsidRPr="002C52EC" w:rsidRDefault="00000000">
      <w:pPr>
        <w:jc w:val="center"/>
        <w:rPr>
          <w:rFonts w:asciiTheme="majorEastAsia" w:eastAsiaTheme="majorEastAsia" w:hAnsiTheme="majorEastAsia" w:cs="SimHei"/>
          <w:b/>
          <w:bCs/>
          <w:sz w:val="36"/>
          <w:szCs w:val="36"/>
        </w:rPr>
      </w:pPr>
      <w:bookmarkStart w:id="0" w:name="OLE_LINK1"/>
      <w:r w:rsidRPr="002C52EC">
        <w:rPr>
          <w:rFonts w:asciiTheme="majorEastAsia" w:eastAsiaTheme="majorEastAsia" w:hAnsiTheme="majorEastAsia" w:cs="SimHei" w:hint="eastAsia"/>
          <w:b/>
          <w:bCs/>
          <w:sz w:val="36"/>
          <w:szCs w:val="36"/>
        </w:rPr>
        <w:t>传统反洗钱AML工作</w:t>
      </w:r>
      <w:bookmarkEnd w:id="0"/>
      <w:r w:rsidRPr="002C52EC">
        <w:rPr>
          <w:rFonts w:asciiTheme="majorEastAsia" w:eastAsiaTheme="majorEastAsia" w:hAnsiTheme="majorEastAsia" w:cs="SimHei" w:hint="eastAsia"/>
          <w:b/>
          <w:bCs/>
          <w:sz w:val="36"/>
          <w:szCs w:val="36"/>
        </w:rPr>
        <w:t>存在的问题</w:t>
      </w:r>
    </w:p>
    <w:p w:rsidR="000A0A36" w:rsidRDefault="000A0A36" w:rsidP="000A0A36">
      <w:pPr>
        <w:rPr>
          <w:rFonts w:asciiTheme="minorEastAsia" w:eastAsiaTheme="minorEastAsia" w:hAnsiTheme="minorEastAsia" w:cs="SimHei"/>
          <w:b/>
          <w:bCs/>
          <w:color w:val="4874CB" w:themeColor="accent1"/>
        </w:rPr>
      </w:pPr>
      <w:r>
        <w:rPr>
          <w:rFonts w:asciiTheme="minorEastAsia" w:eastAsiaTheme="minorEastAsia" w:hAnsiTheme="minorEastAsia" w:cs="SimHei" w:hint="eastAsia"/>
          <w:b/>
          <w:bCs/>
          <w:color w:val="4874CB" w:themeColor="accent1"/>
        </w:rPr>
        <w:t>写在前面：</w:t>
      </w:r>
      <w:r w:rsidRPr="000A0A36">
        <w:rPr>
          <w:rFonts w:asciiTheme="minorEastAsia" w:eastAsiaTheme="minorEastAsia" w:hAnsiTheme="minorEastAsia" w:cs="SimHei" w:hint="eastAsia"/>
          <w:b/>
          <w:bCs/>
          <w:color w:val="4874CB" w:themeColor="accent1"/>
        </w:rPr>
        <w:t>关于反洗钱AML工作</w:t>
      </w:r>
    </w:p>
    <w:p w:rsidR="000A0A36" w:rsidRPr="000A0A36" w:rsidRDefault="000A0A36" w:rsidP="000A0A36">
      <w:pPr>
        <w:rPr>
          <w:rFonts w:asciiTheme="minorEastAsia" w:eastAsiaTheme="minorEastAsia" w:hAnsiTheme="minorEastAsia" w:cs="SimHei"/>
          <w:b/>
          <w:bCs/>
          <w:color w:val="4874CB" w:themeColor="accent1"/>
        </w:rPr>
      </w:pPr>
    </w:p>
    <w:p w:rsidR="002C52EC" w:rsidRDefault="002C52EC" w:rsidP="002C52EC">
      <w:pPr>
        <w:ind w:firstLineChars="200" w:firstLine="489"/>
      </w:pPr>
      <w:r w:rsidRPr="002C52EC">
        <w:rPr>
          <w:b/>
          <w:bCs/>
        </w:rPr>
        <w:t>反洗钱（AML）</w:t>
      </w:r>
      <w:r>
        <w:t>是指通过一系列法律、政策和程序，防止和打击通过金融系统掩饰非法来源资金的活动。</w:t>
      </w:r>
    </w:p>
    <w:p w:rsidR="002C52EC" w:rsidRDefault="002C52EC" w:rsidP="002C52EC">
      <w:pPr>
        <w:ind w:firstLineChars="200" w:firstLine="480"/>
      </w:pPr>
      <w:r>
        <w:t>洗钱通常包括三个阶段：第一阶段是</w:t>
      </w:r>
      <w:r w:rsidRPr="002C52EC">
        <w:rPr>
          <w:u w:val="single"/>
        </w:rPr>
        <w:t>资金的“摆脱”</w:t>
      </w:r>
      <w:r>
        <w:t>，即通过一系列复杂的金融交易将非法资金与合法资金混合，掩盖资金的非法来源；第二阶段是</w:t>
      </w:r>
      <w:r w:rsidRPr="002C52EC">
        <w:rPr>
          <w:u w:val="single"/>
        </w:rPr>
        <w:t>“层次化”</w:t>
      </w:r>
      <w:r>
        <w:t>，即通过多次交易和转移，进一步隐藏资金来源；第三阶段是</w:t>
      </w:r>
      <w:r w:rsidRPr="002C52EC">
        <w:rPr>
          <w:u w:val="single"/>
        </w:rPr>
        <w:t>“整合”</w:t>
      </w:r>
      <w:r>
        <w:t>，即将非法资金转化为看似合法的资产，使其重新进入经济循环。</w:t>
      </w:r>
    </w:p>
    <w:p w:rsidR="002C52EC" w:rsidRDefault="002C52EC" w:rsidP="000A0A36">
      <w:pPr>
        <w:ind w:firstLineChars="200" w:firstLine="480"/>
      </w:pPr>
      <w:r>
        <w:t>AML的核心目标是防止犯罪分子、腐败官员或恐怖分子等非法活动参与者通过金融系统洗钱，将非法所得转化为可以自由支配的财富，进而从事违法犯罪活动。</w:t>
      </w:r>
    </w:p>
    <w:p w:rsidR="002C52EC" w:rsidRDefault="002C52EC" w:rsidP="002C52EC">
      <w:pPr>
        <w:ind w:firstLineChars="200" w:firstLine="480"/>
      </w:pPr>
    </w:p>
    <w:p w:rsidR="002C52EC" w:rsidRDefault="002C52EC" w:rsidP="002C52EC">
      <w:pPr>
        <w:ind w:firstLineChars="200" w:firstLine="480"/>
      </w:pPr>
      <w:r>
        <w:t>反洗钱法的国际法律框架以《金融行动特别工作组（FATF）》的“40条建议”为核心。</w:t>
      </w:r>
      <w:r w:rsidRPr="002C52EC">
        <w:rPr>
          <w:rFonts w:hint="eastAsia"/>
        </w:rPr>
        <w:t>（</w:t>
      </w:r>
      <w:r w:rsidRPr="002C52EC">
        <w:t>FATF是一个国际性组织，致力于设立和推动全球反洗钱和反恐融资的标准与规则。其“40条建议”已成为全球反洗钱和反恐融资的标准模板，世界各国在制定本国法律和政策时，通常以FATF的标准为指导。</w:t>
      </w:r>
      <w:r w:rsidRPr="002C52EC">
        <w:rPr>
          <w:rFonts w:hint="eastAsia"/>
        </w:rPr>
        <w:t>）</w:t>
      </w:r>
    </w:p>
    <w:p w:rsidR="002C52EC" w:rsidRDefault="002C52EC" w:rsidP="002C52EC">
      <w:pPr>
        <w:ind w:firstLineChars="200" w:firstLine="489"/>
      </w:pPr>
      <w:r w:rsidRPr="002C52EC">
        <w:rPr>
          <w:b/>
          <w:bCs/>
        </w:rPr>
        <w:t>FATF的“40条建议”</w:t>
      </w:r>
      <w:r>
        <w:t>涵盖了反洗钱和反恐融资的多个方面，包括：</w:t>
      </w:r>
    </w:p>
    <w:p w:rsidR="002C52EC" w:rsidRDefault="002C52EC" w:rsidP="002C52EC">
      <w:pPr>
        <w:pStyle w:val="a5"/>
        <w:numPr>
          <w:ilvl w:val="0"/>
          <w:numId w:val="4"/>
        </w:numPr>
        <w:ind w:firstLineChars="0"/>
      </w:pPr>
      <w:r w:rsidRPr="002C52EC">
        <w:rPr>
          <w:u w:val="single"/>
        </w:rPr>
        <w:t>客户身份识别（KYC）和尽职调查（CDD）</w:t>
      </w:r>
      <w:r>
        <w:t>，金融机构必须对其客户进行严格的身份验证和背景调查，确保资金来源合法。</w:t>
      </w:r>
    </w:p>
    <w:p w:rsidR="002C52EC" w:rsidRDefault="002C52EC" w:rsidP="002C52EC">
      <w:pPr>
        <w:pStyle w:val="a5"/>
        <w:numPr>
          <w:ilvl w:val="0"/>
          <w:numId w:val="4"/>
        </w:numPr>
        <w:ind w:firstLineChars="0"/>
      </w:pPr>
      <w:r w:rsidRPr="002C52EC">
        <w:rPr>
          <w:u w:val="single"/>
        </w:rPr>
        <w:t>资金流动监控</w:t>
      </w:r>
      <w:r>
        <w:t>，要求金融机构实时监控账户和交易，以识别可疑交易和异常资金流动。</w:t>
      </w:r>
    </w:p>
    <w:p w:rsidR="002C52EC" w:rsidRDefault="002C52EC" w:rsidP="002C52EC">
      <w:pPr>
        <w:pStyle w:val="a5"/>
        <w:numPr>
          <w:ilvl w:val="0"/>
          <w:numId w:val="4"/>
        </w:numPr>
        <w:ind w:firstLineChars="0"/>
      </w:pPr>
      <w:r w:rsidRPr="002C52EC">
        <w:rPr>
          <w:u w:val="single"/>
        </w:rPr>
        <w:t>报告可疑交易</w:t>
      </w:r>
      <w:r>
        <w:t>，金融机构必须报告可疑交易给监管机构，以便进行进一步的调查。</w:t>
      </w:r>
    </w:p>
    <w:p w:rsidR="002C52EC" w:rsidRDefault="002C52EC" w:rsidP="002C52EC">
      <w:pPr>
        <w:pStyle w:val="a5"/>
        <w:numPr>
          <w:ilvl w:val="0"/>
          <w:numId w:val="4"/>
        </w:numPr>
        <w:ind w:firstLineChars="0"/>
      </w:pPr>
      <w:r w:rsidRPr="002C52EC">
        <w:rPr>
          <w:u w:val="single"/>
        </w:rPr>
        <w:t>国际合作</w:t>
      </w:r>
      <w:r>
        <w:t>，FATF强调跨国合作的重要性，各国必须共享洗钱相关的信息，并加强司法和执法合作。</w:t>
      </w:r>
    </w:p>
    <w:p w:rsidR="002C52EC" w:rsidRDefault="002C52EC" w:rsidP="002C52EC">
      <w:pPr>
        <w:pStyle w:val="a5"/>
        <w:numPr>
          <w:ilvl w:val="0"/>
          <w:numId w:val="4"/>
        </w:numPr>
        <w:ind w:firstLineChars="0"/>
      </w:pPr>
      <w:r w:rsidRPr="002C52EC">
        <w:rPr>
          <w:u w:val="single"/>
        </w:rPr>
        <w:t>资金冻结和资产追踪</w:t>
      </w:r>
      <w:r>
        <w:t>，各国必须采取措施，冻结</w:t>
      </w:r>
      <w:r>
        <w:rPr>
          <w:rFonts w:hint="eastAsia"/>
        </w:rPr>
        <w:t>相关</w:t>
      </w:r>
      <w:r>
        <w:t>的资产，并追踪洗钱行为的资金流向。</w:t>
      </w:r>
    </w:p>
    <w:p w:rsidR="002C52EC" w:rsidRDefault="002C52EC" w:rsidP="002C52EC"/>
    <w:p w:rsidR="002C52EC" w:rsidRDefault="002C52EC" w:rsidP="002C52EC">
      <w:r w:rsidRPr="000A0A36">
        <w:rPr>
          <w:b/>
          <w:bCs/>
        </w:rPr>
        <w:t>反洗钱的实施措施</w:t>
      </w:r>
      <w:r w:rsidR="000A0A36">
        <w:rPr>
          <w:rFonts w:hint="eastAsia"/>
        </w:rPr>
        <w:t>：</w:t>
      </w:r>
    </w:p>
    <w:p w:rsidR="002C52EC" w:rsidRPr="000A0A36" w:rsidRDefault="002C52EC" w:rsidP="000A0A36">
      <w:pPr>
        <w:pStyle w:val="a5"/>
        <w:numPr>
          <w:ilvl w:val="0"/>
          <w:numId w:val="5"/>
        </w:numPr>
        <w:ind w:firstLineChars="0"/>
        <w:rPr>
          <w:u w:val="single"/>
        </w:rPr>
      </w:pPr>
      <w:r w:rsidRPr="000A0A36">
        <w:rPr>
          <w:u w:val="single"/>
        </w:rPr>
        <w:t>客户身份识别（KYC）与尽职调查（CDD）</w:t>
      </w:r>
    </w:p>
    <w:p w:rsidR="002C52EC" w:rsidRDefault="002C52EC" w:rsidP="000A0A36">
      <w:pPr>
        <w:ind w:firstLineChars="200" w:firstLine="480"/>
      </w:pPr>
      <w:r>
        <w:t>“了解你的客户”（KYC）是反洗钱的基本要求，要求金融机构在开展业务之前，验证客户的身份并了解其资金来源。客户身份识别包括收集客户的基本信息、确认其身份、了解其财务背景及交易目的。对高风险客户，如政治公众人物（PEPs）、涉及高风险行业的客户，金融机构需要进行额外的尽职调查。</w:t>
      </w:r>
    </w:p>
    <w:p w:rsidR="002C52EC" w:rsidRDefault="002C52EC" w:rsidP="000A0A36">
      <w:pPr>
        <w:ind w:firstLineChars="200" w:firstLine="480"/>
      </w:pPr>
      <w:r>
        <w:t>尽职调查（CDD）是指金融机构在建立客户关系或进行大额交易时，必须采取的审慎措施，确保客户的资金来源合法，防止非法资金进入金融体系。CDD包括常规尽职调查和加强尽职调查两类，后者适用于高风险客户或高风险交易。</w:t>
      </w:r>
    </w:p>
    <w:p w:rsidR="002C52EC" w:rsidRPr="000A0A36" w:rsidRDefault="002C52EC" w:rsidP="000A0A36">
      <w:pPr>
        <w:pStyle w:val="a5"/>
        <w:numPr>
          <w:ilvl w:val="0"/>
          <w:numId w:val="5"/>
        </w:numPr>
        <w:ind w:firstLineChars="0"/>
        <w:rPr>
          <w:u w:val="single"/>
        </w:rPr>
      </w:pPr>
      <w:r w:rsidRPr="000A0A36">
        <w:rPr>
          <w:u w:val="single"/>
        </w:rPr>
        <w:t>可疑交易报告（STR）</w:t>
      </w:r>
    </w:p>
    <w:p w:rsidR="002C52EC" w:rsidRDefault="002C52EC" w:rsidP="000A0A36">
      <w:pPr>
        <w:ind w:firstLineChars="200" w:firstLine="480"/>
      </w:pPr>
      <w:r>
        <w:t>金融机构和其他相关实体必须监控交易活动，识别可疑交易，并在发现可疑行为时向监管机构报告。可疑交易报告（Suspicious Transaction Report，STR）是一种用于揭示洗钱活动的工具。报告内容应包括</w:t>
      </w:r>
      <w:r w:rsidRPr="000A0A36">
        <w:rPr>
          <w:u w:val="dotted"/>
        </w:rPr>
        <w:t>交易的金额、时间、方式、涉及的各方以及其他相关信息</w:t>
      </w:r>
      <w:r>
        <w:t>。监管机构收到STR后，会对交易进行进一步的调查</w:t>
      </w:r>
      <w:r>
        <w:lastRenderedPageBreak/>
        <w:t>和分析。</w:t>
      </w:r>
    </w:p>
    <w:p w:rsidR="002C52EC" w:rsidRPr="000A0A36" w:rsidRDefault="002C52EC" w:rsidP="000A0A36">
      <w:pPr>
        <w:pStyle w:val="a5"/>
        <w:numPr>
          <w:ilvl w:val="0"/>
          <w:numId w:val="5"/>
        </w:numPr>
        <w:ind w:firstLineChars="0"/>
        <w:rPr>
          <w:u w:val="single"/>
        </w:rPr>
      </w:pPr>
      <w:r w:rsidRPr="000A0A36">
        <w:rPr>
          <w:u w:val="single"/>
        </w:rPr>
        <w:t>交易监控与合规技术</w:t>
      </w:r>
    </w:p>
    <w:p w:rsidR="002C52EC" w:rsidRDefault="002C52EC" w:rsidP="000A0A36">
      <w:pPr>
        <w:ind w:firstLineChars="200" w:firstLine="480"/>
      </w:pPr>
      <w:r>
        <w:t>随着金融科技的发展，金融机构采用了越来越多的技术工具来进行交易监控与合规。例如，大数据分析、人工智能和机器学习被广泛应用于识别异常交易模式、分析客户行为等。通过</w:t>
      </w:r>
      <w:r w:rsidRPr="000A0A36">
        <w:rPr>
          <w:u w:val="dotted"/>
        </w:rPr>
        <w:t>实时监控和数据分析</w:t>
      </w:r>
      <w:r>
        <w:t>，金融机构能够及时发现潜在的洗钱风险，减少合规成本并提高监管效率。</w:t>
      </w:r>
    </w:p>
    <w:p w:rsidR="002C52EC" w:rsidRPr="000A0A36" w:rsidRDefault="002C52EC" w:rsidP="000A0A36">
      <w:pPr>
        <w:pStyle w:val="a5"/>
        <w:numPr>
          <w:ilvl w:val="0"/>
          <w:numId w:val="5"/>
        </w:numPr>
        <w:ind w:firstLineChars="0"/>
        <w:rPr>
          <w:u w:val="single"/>
        </w:rPr>
      </w:pPr>
      <w:r w:rsidRPr="000A0A36">
        <w:rPr>
          <w:u w:val="single"/>
        </w:rPr>
        <w:t>跨境合作与信息共享</w:t>
      </w:r>
    </w:p>
    <w:p w:rsidR="002C52EC" w:rsidRDefault="002C52EC" w:rsidP="000A0A36">
      <w:pPr>
        <w:ind w:firstLineChars="200" w:firstLine="480"/>
      </w:pPr>
      <w:r>
        <w:t>洗钱活动通常涉及多个国家和地区，因此，跨境合作成为反洗钱的关键措施。各国监管机构和执法机关应加强合作，共享信息，打击跨国洗钱活动。例如，金融情报单位（FIUs）之间的合作，使得不同国家可以及时获取与洗钱相关的金融信息。</w:t>
      </w:r>
    </w:p>
    <w:p w:rsidR="002C52EC" w:rsidRDefault="002C52EC" w:rsidP="000A0A36">
      <w:pPr>
        <w:ind w:firstLineChars="200" w:firstLine="480"/>
      </w:pPr>
      <w:r>
        <w:t>国际间的法律协作也是反洗钱的重要一环。通过与国际机构如FATF、联合国、世界银行等合作，国家可以共同制定标准，推动全球反洗钱和反恐融资工作的深入开展。</w:t>
      </w:r>
    </w:p>
    <w:p w:rsidR="002C52EC" w:rsidRPr="000A0A36" w:rsidRDefault="002C52EC" w:rsidP="000A0A36">
      <w:pPr>
        <w:pStyle w:val="a5"/>
        <w:numPr>
          <w:ilvl w:val="0"/>
          <w:numId w:val="5"/>
        </w:numPr>
        <w:ind w:firstLineChars="0"/>
        <w:rPr>
          <w:u w:val="single"/>
        </w:rPr>
      </w:pPr>
      <w:r w:rsidRPr="000A0A36">
        <w:rPr>
          <w:u w:val="single"/>
        </w:rPr>
        <w:t>资金追踪</w:t>
      </w:r>
    </w:p>
    <w:p w:rsidR="002C52EC" w:rsidRDefault="002C52EC" w:rsidP="000A0A36">
      <w:pPr>
        <w:ind w:firstLineChars="200" w:firstLine="480"/>
      </w:pPr>
      <w:r>
        <w:t>追踪非法资金流向也是反洗钱的一项重要措施。</w:t>
      </w:r>
    </w:p>
    <w:p w:rsidR="002C52EC" w:rsidRDefault="002C52EC" w:rsidP="002C52EC"/>
    <w:p w:rsidR="002C52EC" w:rsidRPr="002C52EC" w:rsidRDefault="002C52EC" w:rsidP="002C52EC"/>
    <w:p w:rsidR="000A0A36" w:rsidRDefault="000A0A36">
      <w:pPr>
        <w:rPr>
          <w:rFonts w:asciiTheme="minorEastAsia" w:eastAsiaTheme="minorEastAsia" w:hAnsiTheme="minorEastAsia" w:cs="SimHei"/>
          <w:b/>
          <w:bCs/>
          <w:color w:val="4874CB" w:themeColor="accent1"/>
        </w:rPr>
      </w:pPr>
      <w:r>
        <w:rPr>
          <w:rFonts w:asciiTheme="minorEastAsia" w:eastAsiaTheme="minorEastAsia" w:hAnsiTheme="minorEastAsia" w:cs="SimHei" w:hint="eastAsia"/>
          <w:b/>
          <w:bCs/>
          <w:color w:val="4874CB" w:themeColor="accent1"/>
        </w:rPr>
        <w:t>现存的问题：</w:t>
      </w:r>
    </w:p>
    <w:p w:rsidR="008D58AC" w:rsidRPr="002C52EC" w:rsidRDefault="00000000">
      <w:pPr>
        <w:rPr>
          <w:rFonts w:asciiTheme="minorEastAsia" w:eastAsiaTheme="minorEastAsia" w:hAnsiTheme="minorEastAsia" w:cs="SimHei"/>
          <w:b/>
          <w:bCs/>
          <w:color w:val="4874CB" w:themeColor="accent1"/>
        </w:rPr>
      </w:pPr>
      <w:r w:rsidRPr="002C52EC">
        <w:rPr>
          <w:rFonts w:asciiTheme="minorEastAsia" w:eastAsiaTheme="minorEastAsia" w:hAnsiTheme="minorEastAsia" w:cs="SimHei" w:hint="eastAsia"/>
          <w:b/>
          <w:bCs/>
          <w:color w:val="4874CB" w:themeColor="accent1"/>
        </w:rPr>
        <w:t>一、技术和数据不足</w:t>
      </w:r>
    </w:p>
    <w:p w:rsidR="008D58AC" w:rsidRDefault="008D58AC"/>
    <w:p w:rsidR="008D58AC" w:rsidRDefault="00000000">
      <w:pPr>
        <w:ind w:firstLineChars="200" w:firstLine="480"/>
      </w:pPr>
      <w:r>
        <w:rPr>
          <w:rFonts w:hint="eastAsia"/>
        </w:rPr>
        <w:t>技术的滞后和数据的匮乏是AML工作面临的主要挑战之一。随着科技的发展，洗钱手法日益复杂和隐蔽，需要更先进的技术手段进行监测和分析。然而，许多金融机构仍依赖较为传统的AML系统，限制了其监测能力和反应速度。此外，高质量、实时和准确的数据源缺失也是一大问题。为了解决这些问题，金融机构应投资于技术创新和数据收集，引入更先进的AML系统和数据分析工具。</w:t>
      </w:r>
    </w:p>
    <w:p w:rsidR="008D58AC" w:rsidRDefault="008D58AC">
      <w:pPr>
        <w:ind w:firstLineChars="200" w:firstLine="480"/>
      </w:pPr>
    </w:p>
    <w:p w:rsidR="008D58AC" w:rsidRDefault="00000000">
      <w:pPr>
        <w:rPr>
          <w:b/>
          <w:bCs/>
        </w:rPr>
      </w:pPr>
      <w:r>
        <w:rPr>
          <w:rFonts w:hint="eastAsia"/>
          <w:b/>
          <w:bCs/>
        </w:rPr>
        <w:t>案例：马来西亚一马发展公司（1MDB）洗钱案</w:t>
      </w:r>
    </w:p>
    <w:p w:rsidR="008D58AC" w:rsidRDefault="008D58AC"/>
    <w:p w:rsidR="008D58AC" w:rsidRDefault="00000000">
      <w:r>
        <w:rPr>
          <w:rFonts w:hint="eastAsia"/>
        </w:rPr>
        <w:t>案例概述：</w:t>
      </w:r>
    </w:p>
    <w:p w:rsidR="008D58AC" w:rsidRDefault="00000000">
      <w:pPr>
        <w:ind w:firstLineChars="200" w:firstLine="480"/>
      </w:pPr>
      <w:r>
        <w:rPr>
          <w:rFonts w:hint="eastAsia"/>
        </w:rPr>
        <w:t>一马发展公司（1MDB）是马来西亚的一个主权财富基金，但在2015年被曝出涉及巨额洗钱和腐败丑闻。多家国际银行和金融机构被指为一MDB的非法活动提供了金融便利。由于反洗钱系统技术和数据的局限性，这些非法资金流动长时间未被有效监控</w:t>
      </w:r>
    </w:p>
    <w:p w:rsidR="008D58AC" w:rsidRDefault="008D58AC"/>
    <w:p w:rsidR="008D58AC" w:rsidRDefault="00000000">
      <w:r>
        <w:rPr>
          <w:rFonts w:hint="eastAsia"/>
        </w:rPr>
        <w:t>具体数据：</w:t>
      </w:r>
    </w:p>
    <w:p w:rsidR="008D58AC" w:rsidRDefault="00000000">
      <w:pPr>
        <w:ind w:firstLineChars="200" w:firstLine="480"/>
      </w:pPr>
      <w:r>
        <w:rPr>
          <w:rFonts w:hint="eastAsia"/>
        </w:rPr>
        <w:t>·据估计，一MDB涉案金额超过45亿美元，涉及多个国家的金融机构。</w:t>
      </w:r>
    </w:p>
    <w:p w:rsidR="008D58AC" w:rsidRDefault="00000000">
      <w:pPr>
        <w:ind w:firstLineChars="200" w:firstLine="480"/>
      </w:pPr>
      <w:r>
        <w:rPr>
          <w:rFonts w:hint="eastAsia"/>
        </w:rPr>
        <w:t>·其中，高盛集团、摩根大通、瑞士银行等国际知名银行被指参与了一MDB的洗钱活动。这些银行被指控通过复杂的金融交易帮助一MDB转移和清洗非法所得。</w:t>
      </w:r>
    </w:p>
    <w:p w:rsidR="008D58AC" w:rsidRDefault="008D58AC"/>
    <w:p w:rsidR="008D58AC" w:rsidRPr="002C52EC" w:rsidRDefault="00000000">
      <w:pPr>
        <w:rPr>
          <w:rFonts w:asciiTheme="minorEastAsia" w:eastAsiaTheme="minorEastAsia" w:hAnsiTheme="minorEastAsia" w:cs="SimHei"/>
          <w:b/>
          <w:bCs/>
          <w:color w:val="4874CB" w:themeColor="accent1"/>
        </w:rPr>
      </w:pPr>
      <w:r w:rsidRPr="002C52EC">
        <w:rPr>
          <w:rFonts w:asciiTheme="minorEastAsia" w:eastAsiaTheme="minorEastAsia" w:hAnsiTheme="minorEastAsia" w:cs="SimHei" w:hint="eastAsia"/>
          <w:b/>
          <w:bCs/>
          <w:color w:val="4874CB" w:themeColor="accent1"/>
        </w:rPr>
        <w:t>二、法律法规的不完善</w:t>
      </w:r>
    </w:p>
    <w:p w:rsidR="008D58AC" w:rsidRDefault="008D58AC"/>
    <w:p w:rsidR="008D58AC" w:rsidRDefault="00000000">
      <w:pPr>
        <w:ind w:firstLineChars="200" w:firstLine="480"/>
      </w:pPr>
      <w:r>
        <w:rPr>
          <w:rFonts w:hint="eastAsia"/>
        </w:rPr>
        <w:t>洗钱犯罪的跨境性和智慧化特点要求跨国合作和法律制度的支持。然而，不</w:t>
      </w:r>
      <w:r>
        <w:rPr>
          <w:rFonts w:hint="eastAsia"/>
        </w:rPr>
        <w:lastRenderedPageBreak/>
        <w:t>同国家的法律法规存在不一致性和不完善性，给国际合作和信息共享带来困难。各国应加强国际合作，建立统一的AML法规，加强信息共享和交流，以更好地应对洗钱犯罪。</w:t>
      </w:r>
    </w:p>
    <w:p w:rsidR="008D58AC" w:rsidRDefault="008D58AC"/>
    <w:p w:rsidR="008D58AC" w:rsidRDefault="00000000">
      <w:pPr>
        <w:rPr>
          <w:b/>
          <w:bCs/>
        </w:rPr>
      </w:pPr>
      <w:r>
        <w:rPr>
          <w:rFonts w:hint="eastAsia"/>
          <w:b/>
          <w:bCs/>
        </w:rPr>
        <w:t>案例：汇丰银行洗钱丑闻</w:t>
      </w:r>
    </w:p>
    <w:p w:rsidR="008D58AC" w:rsidRDefault="008D58AC"/>
    <w:p w:rsidR="008D58AC" w:rsidRDefault="00000000">
      <w:r>
        <w:rPr>
          <w:rFonts w:hint="eastAsia"/>
        </w:rPr>
        <w:t>案例概述：</w:t>
      </w:r>
    </w:p>
    <w:p w:rsidR="008D58AC" w:rsidRDefault="00000000">
      <w:pPr>
        <w:ind w:firstLineChars="200" w:firstLine="480"/>
      </w:pPr>
      <w:r>
        <w:rPr>
          <w:rFonts w:hint="eastAsia"/>
        </w:rPr>
        <w:t>2012年，美国参议院常设调查委员会发布了一份报告，揭露了汇丰银行（HSBC）在墨西哥、沙特阿拉伯、孟加拉国等国家的分支机构涉嫌协助洗钱和资助恐怖主义的行为。该报告指出，HSBC未能有效监控可疑交易，导致大量非法资金通过其银行系统流动。</w:t>
      </w:r>
    </w:p>
    <w:p w:rsidR="008D58AC" w:rsidRDefault="008D58AC"/>
    <w:p w:rsidR="008D58AC" w:rsidRDefault="00000000">
      <w:r>
        <w:rPr>
          <w:rFonts w:hint="eastAsia"/>
        </w:rPr>
        <w:t>具体数据：</w:t>
      </w:r>
    </w:p>
    <w:p w:rsidR="008D58AC" w:rsidRDefault="00000000">
      <w:pPr>
        <w:ind w:firstLineChars="200" w:firstLine="480"/>
      </w:pPr>
      <w:r>
        <w:rPr>
          <w:rFonts w:hint="eastAsia"/>
        </w:rPr>
        <w:t>• 在墨西哥，HSBC的分支机构处理了超过70亿美元的可疑交易，其中许多与毒品卡特尔有关。</w:t>
      </w:r>
    </w:p>
    <w:p w:rsidR="008D58AC" w:rsidRDefault="00000000">
      <w:pPr>
        <w:ind w:firstLineChars="200" w:firstLine="480"/>
      </w:pPr>
      <w:r>
        <w:rPr>
          <w:rFonts w:hint="eastAsia"/>
        </w:rPr>
        <w:t>• 在沙特阿拉伯，HSBC未能充分审查超过19,000个高风险账户，这些账户与恐怖融资活动有关联。</w:t>
      </w:r>
    </w:p>
    <w:p w:rsidR="008D58AC" w:rsidRDefault="00000000">
      <w:pPr>
        <w:ind w:firstLineChars="200" w:firstLine="480"/>
      </w:pPr>
      <w:r>
        <w:rPr>
          <w:rFonts w:hint="eastAsia"/>
        </w:rPr>
        <w:t>• 在2006年至2007年期间，HSBC的孟加拉国分行处理了超过20亿美元的可疑美元交易，其中许多交易违反了美国的制裁规定。</w:t>
      </w:r>
    </w:p>
    <w:p w:rsidR="008D58AC" w:rsidRDefault="008D58AC">
      <w:pPr>
        <w:rPr>
          <w:rFonts w:ascii="SimHei" w:eastAsia="SimHei" w:hAnsi="SimHei" w:cs="SimHei"/>
        </w:rPr>
      </w:pPr>
    </w:p>
    <w:p w:rsidR="008D58AC" w:rsidRPr="002C52EC" w:rsidRDefault="00000000">
      <w:pPr>
        <w:rPr>
          <w:rFonts w:asciiTheme="minorEastAsia" w:eastAsiaTheme="minorEastAsia" w:hAnsiTheme="minorEastAsia" w:cs="SimHei"/>
          <w:b/>
          <w:bCs/>
          <w:color w:val="4874CB" w:themeColor="accent1"/>
        </w:rPr>
      </w:pPr>
      <w:r w:rsidRPr="002C52EC">
        <w:rPr>
          <w:rFonts w:asciiTheme="minorEastAsia" w:eastAsiaTheme="minorEastAsia" w:hAnsiTheme="minorEastAsia" w:cs="SimHei" w:hint="eastAsia"/>
          <w:b/>
          <w:bCs/>
          <w:color w:val="4874CB" w:themeColor="accent1"/>
        </w:rPr>
        <w:t>三、人员意识和培训的不足</w:t>
      </w:r>
    </w:p>
    <w:p w:rsidR="008D58AC" w:rsidRDefault="008D58AC"/>
    <w:p w:rsidR="008D58AC" w:rsidRDefault="00000000">
      <w:pPr>
        <w:ind w:firstLineChars="200" w:firstLine="480"/>
      </w:pPr>
      <w:r>
        <w:rPr>
          <w:rFonts w:hint="eastAsia"/>
        </w:rPr>
        <w:t>人员的敏感性教育和意识不足是AML工作中的另一个关键问题。洗钱犯罪手法隐蔽狡猾，需要金融机构的工作人员保持高度的警惕和敏感性。然而，一些员工对洗钱犯罪的风险和重要性缺乏敏感性和了解，也存在一些不合规的行为。金融机构应加强员工培训，提高其对洗钱犯罪的认识，建立稳定的内部控制体系，确保员工从业务层面的合规性。</w:t>
      </w:r>
    </w:p>
    <w:p w:rsidR="008D58AC" w:rsidRDefault="008D58AC"/>
    <w:p w:rsidR="008D58AC" w:rsidRDefault="00000000">
      <w:pPr>
        <w:rPr>
          <w:b/>
          <w:bCs/>
        </w:rPr>
      </w:pPr>
      <w:r>
        <w:rPr>
          <w:rFonts w:hint="eastAsia"/>
          <w:b/>
          <w:bCs/>
        </w:rPr>
        <w:t>案例：巴黎银行洗钱案</w:t>
      </w:r>
    </w:p>
    <w:p w:rsidR="008D58AC" w:rsidRDefault="008D58AC"/>
    <w:p w:rsidR="008D58AC" w:rsidRDefault="00000000">
      <w:r>
        <w:rPr>
          <w:rFonts w:hint="eastAsia"/>
        </w:rPr>
        <w:t>案例概述：</w:t>
      </w:r>
    </w:p>
    <w:p w:rsidR="008D58AC" w:rsidRDefault="00000000">
      <w:pPr>
        <w:ind w:firstLineChars="200" w:firstLine="480"/>
      </w:pPr>
      <w:r>
        <w:rPr>
          <w:rFonts w:hint="eastAsia"/>
        </w:rPr>
        <w:t>2016年，法国巴黎银行（BNP Paribas）因违反美国反洗钱法规被罚款近90亿美元，这是美国历史上对银行因反洗钱不力开出的最大罚单之一。调查发现，该行在反洗钱政策和程序上存在严重缺陷，部分员工对反洗钱法规的意识和理解不足，缺乏必要的培训，导致未能及时识别和报告可疑交易。此案例不强调了人员意识和培训在反洗钱工作中的关键作用。</w:t>
      </w:r>
    </w:p>
    <w:p w:rsidR="008D58AC" w:rsidRDefault="008D58AC"/>
    <w:p w:rsidR="008D58AC" w:rsidRDefault="00000000">
      <w:r>
        <w:rPr>
          <w:rFonts w:hint="eastAsia"/>
        </w:rPr>
        <w:t>具体数据：</w:t>
      </w:r>
    </w:p>
    <w:p w:rsidR="008D58AC" w:rsidRDefault="00000000">
      <w:pPr>
        <w:ind w:firstLineChars="200" w:firstLine="480"/>
      </w:pPr>
      <w:r>
        <w:rPr>
          <w:rFonts w:hint="eastAsia"/>
        </w:rPr>
        <w:t>·根据美国司法部的指控，巴黎银行在2004年至2012年期间，未能有效监控和阻止来自苏丹、伊朗和古巴等受制裁国家的交易，涉及金额高达数百亿美元。</w:t>
      </w:r>
    </w:p>
    <w:p w:rsidR="008D58AC" w:rsidRDefault="00000000">
      <w:pPr>
        <w:ind w:firstLineChars="200" w:firstLine="480"/>
      </w:pPr>
      <w:r>
        <w:rPr>
          <w:rFonts w:hint="eastAsia"/>
        </w:rPr>
        <w:t>·法国巴黎银行因此被罚款近90亿美元</w:t>
      </w:r>
    </w:p>
    <w:p w:rsidR="008D58AC" w:rsidRDefault="008D58AC">
      <w:pPr>
        <w:ind w:firstLineChars="200" w:firstLine="480"/>
      </w:pPr>
    </w:p>
    <w:p w:rsidR="008D58AC" w:rsidRDefault="00000000">
      <w:pPr>
        <w:rPr>
          <w:rFonts w:ascii="SimHei" w:eastAsia="SimHei" w:hAnsi="SimHei" w:cs="SimHei"/>
        </w:rPr>
      </w:pPr>
      <w:r w:rsidRPr="002C52EC">
        <w:rPr>
          <w:rFonts w:asciiTheme="minorEastAsia" w:eastAsiaTheme="minorEastAsia" w:hAnsiTheme="minorEastAsia" w:cs="SimHei" w:hint="eastAsia"/>
          <w:b/>
          <w:bCs/>
          <w:color w:val="4874CB" w:themeColor="accent1"/>
        </w:rPr>
        <w:t>四、信息共享和合作的难题</w:t>
      </w:r>
    </w:p>
    <w:p w:rsidR="008D58AC" w:rsidRDefault="008D58AC"/>
    <w:p w:rsidR="008D58AC" w:rsidRDefault="00000000">
      <w:pPr>
        <w:ind w:firstLineChars="200" w:firstLine="480"/>
      </w:pPr>
      <w:r>
        <w:rPr>
          <w:rFonts w:hint="eastAsia"/>
        </w:rPr>
        <w:lastRenderedPageBreak/>
        <w:t>信息共享和合作的问题是AML工作中的另一个挑战。洗钱犯罪活动跨越国界，需要各国之间的信息共享和合作才能更好地打击这一问题。然而，由于信息隐私和法律法规限制等原因，信息共享和合作变得困难。基于此，各国应建立健全的合作机制和平台，加强信息共享，提高合作效率。</w:t>
      </w:r>
    </w:p>
    <w:p w:rsidR="008D58AC" w:rsidRDefault="008D58AC">
      <w:pPr>
        <w:ind w:firstLineChars="200" w:firstLine="489"/>
        <w:rPr>
          <w:b/>
          <w:bCs/>
        </w:rPr>
      </w:pPr>
    </w:p>
    <w:p w:rsidR="008D58AC" w:rsidRDefault="00000000">
      <w:pPr>
        <w:rPr>
          <w:b/>
          <w:bCs/>
        </w:rPr>
      </w:pPr>
      <w:r>
        <w:rPr>
          <w:rFonts w:hint="eastAsia"/>
          <w:b/>
          <w:bCs/>
        </w:rPr>
        <w:t>案例：墨西哥银行系统洗钱案</w:t>
      </w:r>
      <w:r>
        <w:rPr>
          <w:rStyle w:val="a4"/>
          <w:rFonts w:hint="eastAsia"/>
          <w:b/>
          <w:bCs/>
        </w:rPr>
        <w:footnoteReference w:id="1"/>
      </w:r>
    </w:p>
    <w:p w:rsidR="008D58AC" w:rsidRDefault="008D58AC"/>
    <w:p w:rsidR="008D58AC" w:rsidRDefault="00000000">
      <w:r>
        <w:rPr>
          <w:rFonts w:hint="eastAsia"/>
        </w:rPr>
        <w:t>案例概述：</w:t>
      </w:r>
    </w:p>
    <w:p w:rsidR="008D58AC" w:rsidRDefault="00000000">
      <w:pPr>
        <w:ind w:firstLineChars="200" w:firstLine="480"/>
      </w:pPr>
      <w:r>
        <w:rPr>
          <w:rFonts w:hint="eastAsia"/>
        </w:rPr>
        <w:t>墨西哥银行系统长期以来一直受到洗钱活动的困扰。据国际货币基金组织（IMF）估计，每年通过墨西哥银行系统洗钱的金额可能高达国内生产总值的2%至5%（IMF, 2017）。该案凸显了信息共享与合作在跨国反洗钱斗争中的重要性。墨西哥与其他国家在反洗钱信息共享方面存在不足，导致洗钱分子能够利用这些漏洞进行跨境资金转移。</w:t>
      </w:r>
    </w:p>
    <w:p w:rsidR="008D58AC" w:rsidRDefault="008D58AC"/>
    <w:p w:rsidR="008D58AC" w:rsidRDefault="00000000">
      <w:r>
        <w:rPr>
          <w:rFonts w:hint="eastAsia"/>
        </w:rPr>
        <w:t>具体数据：</w:t>
      </w:r>
    </w:p>
    <w:p w:rsidR="008D58AC" w:rsidRDefault="00000000">
      <w:pPr>
        <w:ind w:firstLineChars="200" w:firstLine="480"/>
      </w:pPr>
      <w:r>
        <w:rPr>
          <w:rFonts w:hint="eastAsia"/>
        </w:rPr>
        <w:t>·涉嫌洗钱金额占GDP比例：2%至5%</w:t>
      </w:r>
    </w:p>
    <w:p w:rsidR="008D58AC" w:rsidRDefault="008D58AC">
      <w:pPr>
        <w:ind w:firstLineChars="200" w:firstLine="480"/>
      </w:pPr>
    </w:p>
    <w:p w:rsidR="008D58AC" w:rsidRPr="002C52EC" w:rsidRDefault="00000000">
      <w:pPr>
        <w:rPr>
          <w:rFonts w:asciiTheme="minorEastAsia" w:eastAsiaTheme="minorEastAsia" w:hAnsiTheme="minorEastAsia" w:cs="SimHei"/>
          <w:b/>
          <w:bCs/>
          <w:color w:val="4874CB" w:themeColor="accent1"/>
        </w:rPr>
      </w:pPr>
      <w:r w:rsidRPr="002C52EC">
        <w:rPr>
          <w:rFonts w:asciiTheme="minorEastAsia" w:eastAsiaTheme="minorEastAsia" w:hAnsiTheme="minorEastAsia" w:cs="SimHei" w:hint="eastAsia"/>
          <w:b/>
          <w:bCs/>
          <w:color w:val="4874CB" w:themeColor="accent1"/>
        </w:rPr>
        <w:t>五、缺乏有效的风险评估和监测机制</w:t>
      </w:r>
    </w:p>
    <w:p w:rsidR="008D58AC" w:rsidRDefault="008D58AC"/>
    <w:p w:rsidR="008D58AC" w:rsidRDefault="00000000">
      <w:pPr>
        <w:ind w:firstLineChars="200" w:firstLine="480"/>
      </w:pPr>
      <w:r>
        <w:rPr>
          <w:rFonts w:hint="eastAsia"/>
        </w:rPr>
        <w:t>缺乏有效的风险评估和监测机制是AML工作中的另一个重要问题。洗钱犯罪活动不断演变和变化，需要针对性的风险评估和监测机制。然而，现实中许多金融机构缺乏这样的机制或机制不够完善。金融机构应加强对洗钱犯罪的风险评估和监测，建立并落实定期更新的监测机制，并针对新的洗钱手法制定相应的应对策略。</w:t>
      </w:r>
    </w:p>
    <w:p w:rsidR="008D58AC" w:rsidRDefault="008D58AC"/>
    <w:p w:rsidR="008D58AC" w:rsidRDefault="00000000">
      <w:pPr>
        <w:rPr>
          <w:b/>
          <w:bCs/>
        </w:rPr>
      </w:pPr>
      <w:r>
        <w:rPr>
          <w:rFonts w:hint="eastAsia"/>
          <w:b/>
          <w:bCs/>
        </w:rPr>
        <w:t>案例：德意志银行反洗钱监控失败</w:t>
      </w:r>
    </w:p>
    <w:p w:rsidR="008D58AC" w:rsidRDefault="008D58AC"/>
    <w:p w:rsidR="008D58AC" w:rsidRDefault="00000000">
      <w:r>
        <w:rPr>
          <w:rFonts w:hint="eastAsia"/>
        </w:rPr>
        <w:t>案例概述：</w:t>
      </w:r>
    </w:p>
    <w:p w:rsidR="008D58AC" w:rsidRDefault="00000000">
      <w:pPr>
        <w:ind w:firstLineChars="200" w:firstLine="480"/>
      </w:pPr>
      <w:r>
        <w:rPr>
          <w:rFonts w:hint="eastAsia"/>
        </w:rPr>
        <w:t>德意志银行（Deutsche Bank）在2016年因其反洗钱监控系统的重大缺陷而面临巨额罚款。美国司法部和纽约州金融服务管理局指控德意志银行未能有效监控和报告可疑交易，特别是涉及俄罗斯和其他高风险地区的交易。</w:t>
      </w:r>
    </w:p>
    <w:p w:rsidR="008D58AC" w:rsidRDefault="008D58AC"/>
    <w:p w:rsidR="008D58AC" w:rsidRDefault="00000000">
      <w:r>
        <w:rPr>
          <w:rFonts w:hint="eastAsia"/>
        </w:rPr>
        <w:t>具体数据：</w:t>
      </w:r>
    </w:p>
    <w:p w:rsidR="008D58AC" w:rsidRDefault="00000000">
      <w:r>
        <w:rPr>
          <w:rFonts w:hint="eastAsia"/>
        </w:rPr>
        <w:t xml:space="preserve">    • 在2012年至2014年期间，德意志银行未能报告超过60亿美元的可疑交易，这些交易与俄罗斯的个人和公司有关。</w:t>
      </w:r>
    </w:p>
    <w:p w:rsidR="008D58AC" w:rsidRDefault="00000000">
      <w:r>
        <w:rPr>
          <w:rFonts w:hint="eastAsia"/>
        </w:rPr>
        <w:t xml:space="preserve">    • 据估计，这些未报告的交易中，有相当一部分涉及洗钱、逃税或其他非法活动。</w:t>
      </w:r>
    </w:p>
    <w:p w:rsidR="008D58AC" w:rsidRDefault="00000000">
      <w:pPr>
        <w:ind w:firstLine="480"/>
      </w:pPr>
      <w:r>
        <w:rPr>
          <w:rFonts w:hint="eastAsia"/>
        </w:rPr>
        <w:t>• 由于这些监控失败，德意志银行被罚款1.9亿美元，并被要求改进其反洗钱程序。</w:t>
      </w:r>
    </w:p>
    <w:p w:rsidR="008D58AC" w:rsidRDefault="008D58AC">
      <w:pPr>
        <w:ind w:firstLine="480"/>
      </w:pPr>
    </w:p>
    <w:p w:rsidR="008D58AC" w:rsidRPr="002C52EC" w:rsidRDefault="00000000">
      <w:pPr>
        <w:rPr>
          <w:rFonts w:asciiTheme="minorEastAsia" w:eastAsiaTheme="minorEastAsia" w:hAnsiTheme="minorEastAsia" w:cs="SimHei"/>
          <w:b/>
          <w:bCs/>
          <w:color w:val="4874CB" w:themeColor="accent1"/>
        </w:rPr>
      </w:pPr>
      <w:r w:rsidRPr="002C52EC">
        <w:rPr>
          <w:rFonts w:asciiTheme="minorEastAsia" w:eastAsiaTheme="minorEastAsia" w:hAnsiTheme="minorEastAsia" w:cs="SimHei" w:hint="eastAsia"/>
          <w:b/>
          <w:bCs/>
          <w:color w:val="4874CB" w:themeColor="accent1"/>
        </w:rPr>
        <w:t>六、科学数据与合成数据集的应用探索</w:t>
      </w:r>
    </w:p>
    <w:p w:rsidR="008D58AC" w:rsidRDefault="008D58AC"/>
    <w:p w:rsidR="008D58AC" w:rsidRDefault="00000000">
      <w:pPr>
        <w:ind w:firstLineChars="200" w:firstLine="480"/>
      </w:pPr>
      <w:r>
        <w:rPr>
          <w:rFonts w:hint="eastAsia"/>
        </w:rPr>
        <w:t>由于银行数据高度保密，在银行中的反洗钱 (AML) 方法调查和研究中，缺乏真正的公共数据集。这严重限制了对重要的AML问题的研究，影响效率，有效性，阶级不平衡，概念漂移和可解释性。</w:t>
      </w:r>
    </w:p>
    <w:p w:rsidR="008D58AC" w:rsidRDefault="00000000">
      <w:pPr>
        <w:ind w:firstLineChars="200" w:firstLine="480"/>
      </w:pPr>
      <w:r>
        <w:rPr>
          <w:rFonts w:hint="eastAsia"/>
        </w:rPr>
        <w:t>为了解决AML工作中数据不足的问题，科学家们开始探索合成数据集的应用。合成数据集是基于真实数据生成的模拟数据，用于评估和优化AML方法。</w:t>
      </w:r>
    </w:p>
    <w:p w:rsidR="00CE706A" w:rsidRDefault="00000000" w:rsidP="00CE706A">
      <w:pPr>
        <w:ind w:firstLineChars="200" w:firstLine="480"/>
      </w:pPr>
      <w:r>
        <w:rPr>
          <w:rFonts w:hint="eastAsia"/>
        </w:rPr>
        <w:t>在A synthetic data set to benchmark anti-money laundering methods</w:t>
      </w:r>
      <w:r>
        <w:rPr>
          <w:rStyle w:val="a4"/>
          <w:rFonts w:hint="eastAsia"/>
        </w:rPr>
        <w:footnoteReference w:id="2"/>
      </w:r>
      <w:r>
        <w:rPr>
          <w:rFonts w:hint="eastAsia"/>
        </w:rPr>
        <w:t>一文中，研究人员提出了一个名为</w:t>
      </w:r>
      <w:proofErr w:type="spellStart"/>
      <w:r>
        <w:rPr>
          <w:rFonts w:hint="eastAsia"/>
        </w:rPr>
        <w:t>SynthAML</w:t>
      </w:r>
      <w:proofErr w:type="spellEnd"/>
      <w:r>
        <w:rPr>
          <w:rFonts w:hint="eastAsia"/>
        </w:rPr>
        <w:t>的合成数据集，用于评估反洗钱方法。该数据集基于丹麦一家具有系统性重要性的银行的真实数据，包含20,000个AML警报和超过1600万笔交易。实验结果表明，在</w:t>
      </w:r>
      <w:proofErr w:type="spellStart"/>
      <w:r>
        <w:rPr>
          <w:rFonts w:hint="eastAsia"/>
        </w:rPr>
        <w:t>SynthAML</w:t>
      </w:r>
      <w:proofErr w:type="spellEnd"/>
      <w:r>
        <w:rPr>
          <w:rFonts w:hint="eastAsia"/>
        </w:rPr>
        <w:t>上的表现可以转移到现实世界。这为AML工作提供了新的数据支持和评估工具。</w:t>
      </w:r>
    </w:p>
    <w:p w:rsidR="00CE706A" w:rsidRDefault="00CE706A" w:rsidP="00CE706A">
      <w:pPr>
        <w:ind w:firstLineChars="200" w:firstLine="480"/>
      </w:pPr>
    </w:p>
    <w:p w:rsidR="002A2375" w:rsidRPr="002A2375" w:rsidRDefault="002A2375" w:rsidP="002A2375">
      <w:pPr>
        <w:rPr>
          <w:rFonts w:asciiTheme="minorEastAsia" w:eastAsiaTheme="minorEastAsia" w:hAnsiTheme="minorEastAsia" w:cs="SimHei"/>
          <w:b/>
          <w:bCs/>
          <w:color w:val="4874CB" w:themeColor="accent1"/>
        </w:rPr>
      </w:pPr>
      <w:r>
        <w:rPr>
          <w:rFonts w:asciiTheme="minorEastAsia" w:eastAsiaTheme="minorEastAsia" w:hAnsiTheme="minorEastAsia" w:cs="SimHei" w:hint="eastAsia"/>
          <w:b/>
          <w:bCs/>
          <w:color w:val="4874CB" w:themeColor="accent1"/>
        </w:rPr>
        <w:t>【七</w:t>
      </w:r>
      <w:r w:rsidRPr="002A2375">
        <w:rPr>
          <w:rFonts w:asciiTheme="minorEastAsia" w:eastAsiaTheme="minorEastAsia" w:hAnsiTheme="minorEastAsia" w:cs="SimHei"/>
          <w:b/>
          <w:bCs/>
          <w:color w:val="4874CB" w:themeColor="accent1"/>
        </w:rPr>
        <w:t>.规则覆盖面不足:</w:t>
      </w:r>
    </w:p>
    <w:p w:rsidR="002A2375" w:rsidRDefault="002A2375" w:rsidP="002A2375">
      <w:pPr>
        <w:ind w:firstLineChars="200" w:firstLine="480"/>
      </w:pPr>
      <w:r>
        <w:t>传统的规则引擎依赖于预定义的规则，难以覆盖所有潜在的洗钱手法。洗钱分子会不断利用新的技术和手段规避监管，例如利用虚拟货币、加密支付等新型金融工具进行洗钱活动。传统规则体系很难及时更新以应对这些新兴威胁，导致规则覆盖面不足，无法有效识别复杂和隐蔽的洗钱交易。</w:t>
      </w:r>
    </w:p>
    <w:p w:rsidR="002A2375" w:rsidRPr="002A2375" w:rsidRDefault="002A2375" w:rsidP="002A2375">
      <w:pPr>
        <w:rPr>
          <w:rFonts w:asciiTheme="minorEastAsia" w:eastAsiaTheme="minorEastAsia" w:hAnsiTheme="minorEastAsia" w:cs="SimHei"/>
          <w:b/>
          <w:bCs/>
          <w:color w:val="4874CB" w:themeColor="accent1"/>
        </w:rPr>
      </w:pPr>
      <w:r>
        <w:rPr>
          <w:rFonts w:asciiTheme="minorEastAsia" w:eastAsiaTheme="minorEastAsia" w:hAnsiTheme="minorEastAsia" w:cs="SimHei" w:hint="eastAsia"/>
          <w:b/>
          <w:bCs/>
          <w:color w:val="4874CB" w:themeColor="accent1"/>
        </w:rPr>
        <w:t>八</w:t>
      </w:r>
      <w:r w:rsidRPr="002A2375">
        <w:rPr>
          <w:rFonts w:asciiTheme="minorEastAsia" w:eastAsiaTheme="minorEastAsia" w:hAnsiTheme="minorEastAsia" w:cs="SimHei"/>
          <w:b/>
          <w:bCs/>
          <w:color w:val="4874CB" w:themeColor="accent1"/>
        </w:rPr>
        <w:t xml:space="preserve">.识别的准确性和效率低下: </w:t>
      </w:r>
    </w:p>
    <w:p w:rsidR="002A2375" w:rsidRDefault="002A2375" w:rsidP="002A2375">
      <w:pPr>
        <w:ind w:firstLineChars="200" w:firstLine="480"/>
      </w:pPr>
      <w:r>
        <w:t>传统的 AML系统主要依靠人工审查和规则匹配，其识别准确率和效率都存在一定缺陷。人工审查容易受到主观因素的影响，导致误判和漏检风险较高。而规则匹配只能识别已知的洗钱模式，难以应对未知的洗钱手法</w:t>
      </w:r>
    </w:p>
    <w:p w:rsidR="002A2375" w:rsidRPr="002A2375" w:rsidRDefault="002A2375" w:rsidP="002A2375">
      <w:pPr>
        <w:rPr>
          <w:rFonts w:asciiTheme="minorEastAsia" w:eastAsiaTheme="minorEastAsia" w:hAnsiTheme="minorEastAsia" w:cs="SimHei"/>
          <w:b/>
          <w:bCs/>
          <w:color w:val="4874CB" w:themeColor="accent1"/>
        </w:rPr>
      </w:pPr>
      <w:r>
        <w:rPr>
          <w:rFonts w:asciiTheme="minorEastAsia" w:eastAsiaTheme="minorEastAsia" w:hAnsiTheme="minorEastAsia" w:cs="SimHei" w:hint="eastAsia"/>
          <w:b/>
          <w:bCs/>
          <w:color w:val="4874CB" w:themeColor="accent1"/>
        </w:rPr>
        <w:t>九</w:t>
      </w:r>
      <w:r w:rsidRPr="002A2375">
        <w:rPr>
          <w:rFonts w:asciiTheme="minorEastAsia" w:eastAsiaTheme="minorEastAsia" w:hAnsiTheme="minorEastAsia" w:cs="SimHei"/>
          <w:b/>
          <w:bCs/>
          <w:color w:val="4874CB" w:themeColor="accent1"/>
        </w:rPr>
        <w:t xml:space="preserve">.对实时信息的处理能力有限: </w:t>
      </w:r>
    </w:p>
    <w:p w:rsidR="00CE706A" w:rsidRPr="00CE706A" w:rsidRDefault="002A2375" w:rsidP="002A2375">
      <w:pPr>
        <w:ind w:firstLineChars="200" w:firstLine="480"/>
      </w:pPr>
      <w:r>
        <w:t>传统的 AML系统主要依赖于历史交易数据进行分析，缺乏对实时信息的捕捉和处理能力。</w:t>
      </w:r>
    </w:p>
    <w:p w:rsidR="002A2375" w:rsidRDefault="002A2375" w:rsidP="002A2375">
      <w:pPr>
        <w:ind w:firstLineChars="200" w:firstLine="480"/>
      </w:pPr>
      <w:r>
        <w:t>随着金融科技的发展，线上交易速度越来越快，传统 AML系统难以及时识别实时发生的洗钱活动。</w:t>
      </w:r>
    </w:p>
    <w:p w:rsidR="002A2375" w:rsidRDefault="002A2375" w:rsidP="002A2375">
      <w:r>
        <w:rPr>
          <w:rFonts w:asciiTheme="minorEastAsia" w:eastAsiaTheme="minorEastAsia" w:hAnsiTheme="minorEastAsia" w:cs="SimHei" w:hint="eastAsia"/>
          <w:b/>
          <w:bCs/>
          <w:color w:val="4874CB" w:themeColor="accent1"/>
        </w:rPr>
        <w:t>十</w:t>
      </w:r>
      <w:r w:rsidRPr="002A2375">
        <w:rPr>
          <w:rFonts w:asciiTheme="minorEastAsia" w:eastAsiaTheme="minorEastAsia" w:hAnsiTheme="minorEastAsia" w:cs="SimHei"/>
          <w:b/>
          <w:bCs/>
          <w:color w:val="4874CB" w:themeColor="accent1"/>
        </w:rPr>
        <w:t>. 数据孤岛问题:</w:t>
      </w:r>
    </w:p>
    <w:p w:rsidR="008D58AC" w:rsidRPr="002A2375" w:rsidRDefault="002A2375" w:rsidP="002A2375">
      <w:pPr>
        <w:ind w:firstLineChars="200" w:firstLine="480"/>
        <w:rPr>
          <w:vertAlign w:val="superscript"/>
        </w:rPr>
      </w:pPr>
      <w:r>
        <w:t>不同金融机构之间的数据共享受限，导致数据孤岛现象普遍存在。 这使得 AML系统无法获取完整的客户画像和交易信息，难以进行全面的风险评估和检测</w:t>
      </w:r>
      <w:r>
        <w:rPr>
          <w:rFonts w:hint="eastAsia"/>
        </w:rPr>
        <w:t>。</w:t>
      </w:r>
      <w:r w:rsidRPr="002A2375">
        <w:rPr>
          <w:rFonts w:asciiTheme="minorEastAsia" w:eastAsiaTheme="minorEastAsia" w:hAnsiTheme="minorEastAsia" w:cs="SimHei" w:hint="eastAsia"/>
          <w:b/>
          <w:bCs/>
          <w:color w:val="4874CB" w:themeColor="accent1"/>
        </w:rPr>
        <w:t>】</w:t>
      </w:r>
      <w:r w:rsidRPr="002A2375">
        <w:rPr>
          <w:rFonts w:asciiTheme="minorEastAsia" w:eastAsiaTheme="minorEastAsia" w:hAnsiTheme="minorEastAsia" w:cs="SimHei" w:hint="eastAsia"/>
          <w:b/>
          <w:bCs/>
          <w:color w:val="4874CB" w:themeColor="accent1"/>
          <w:vertAlign w:val="superscript"/>
        </w:rPr>
        <w:t>3</w:t>
      </w:r>
    </w:p>
    <w:p w:rsidR="002A2375" w:rsidRDefault="002A2375" w:rsidP="002A2375">
      <w:pPr>
        <w:ind w:firstLineChars="200" w:firstLine="480"/>
      </w:pPr>
    </w:p>
    <w:p w:rsidR="008D58AC" w:rsidRDefault="00000000">
      <w:pPr>
        <w:ind w:firstLineChars="200" w:firstLine="480"/>
      </w:pPr>
      <w:r>
        <w:rPr>
          <w:rFonts w:hint="eastAsia"/>
        </w:rPr>
        <w:t>传统AML工作在实践中面临技术和数据不足、法律法规不完善、人员意识和培训不足、信息共享和合作难题以及缺乏有效的风险评估和监测机制等问题。为了解决这些问题，金融机构应加强技术创新和数据收集，投资于先进的AML系统和数据分析工具；国家之间应加强合作，建立统一的AML法规；金融机构应加强员工培训；各国应建立健全的合作机制和平台；金融机构应加强对洗钱风险的评估和监测。</w:t>
      </w:r>
    </w:p>
    <w:p w:rsidR="002A2375" w:rsidRPr="002A2375" w:rsidRDefault="002A2375">
      <w:pPr>
        <w:ind w:firstLineChars="200" w:firstLine="480"/>
      </w:pPr>
    </w:p>
    <w:sectPr w:rsidR="002A2375" w:rsidRPr="002A23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225A7" w:rsidRDefault="00C225A7">
      <w:r>
        <w:separator/>
      </w:r>
    </w:p>
  </w:endnote>
  <w:endnote w:type="continuationSeparator" w:id="0">
    <w:p w:rsidR="00C225A7" w:rsidRDefault="00C225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225A7" w:rsidRDefault="00C225A7">
      <w:r>
        <w:separator/>
      </w:r>
    </w:p>
  </w:footnote>
  <w:footnote w:type="continuationSeparator" w:id="0">
    <w:p w:rsidR="00C225A7" w:rsidRDefault="00C225A7">
      <w:r>
        <w:continuationSeparator/>
      </w:r>
    </w:p>
  </w:footnote>
  <w:footnote w:id="1">
    <w:p w:rsidR="008D58AC" w:rsidRDefault="00000000">
      <w:pPr>
        <w:pStyle w:val="a3"/>
      </w:pPr>
      <w:r>
        <w:rPr>
          <w:rStyle w:val="a4"/>
        </w:rPr>
        <w:footnoteRef/>
      </w:r>
      <w:r>
        <w:t xml:space="preserve"> </w:t>
      </w:r>
      <w:r>
        <w:rPr>
          <w:rFonts w:hint="eastAsia"/>
        </w:rPr>
        <w:t>International Monetary Fund (IMF). (2017). Mexico: Financial Sector Assessment Program—Detailed Assessments of Observance Report and Technical Note on Anti-Money Laundering and Combating the Financing of Terrorism. IMF.</w:t>
      </w:r>
    </w:p>
  </w:footnote>
  <w:footnote w:id="2">
    <w:p w:rsidR="008D58AC" w:rsidRDefault="00000000">
      <w:pPr>
        <w:pStyle w:val="a3"/>
      </w:pPr>
      <w:r>
        <w:rPr>
          <w:rStyle w:val="a4"/>
        </w:rPr>
        <w:footnoteRef/>
      </w:r>
      <w:r>
        <w:t xml:space="preserve"> </w:t>
      </w:r>
      <w:r>
        <w:rPr>
          <w:rFonts w:hint="eastAsia"/>
        </w:rPr>
        <w:t xml:space="preserve">Jensen, R.I.T., </w:t>
      </w:r>
      <w:proofErr w:type="spellStart"/>
      <w:r>
        <w:rPr>
          <w:rFonts w:hint="eastAsia"/>
        </w:rPr>
        <w:t>Ferwerda</w:t>
      </w:r>
      <w:proofErr w:type="spellEnd"/>
      <w:r>
        <w:rPr>
          <w:rFonts w:hint="eastAsia"/>
        </w:rPr>
        <w:t xml:space="preserve">, J., </w:t>
      </w:r>
      <w:proofErr w:type="spellStart"/>
      <w:r>
        <w:rPr>
          <w:rFonts w:hint="eastAsia"/>
        </w:rPr>
        <w:t>Jørgensen</w:t>
      </w:r>
      <w:proofErr w:type="spellEnd"/>
      <w:r>
        <w:rPr>
          <w:rFonts w:hint="eastAsia"/>
        </w:rPr>
        <w:t xml:space="preserve">, K.S. et al. A synthetic data set to benchmark anti-money laundering methods. Sci Data 10, 661 (2023). </w:t>
      </w:r>
      <w:hyperlink r:id="rId1" w:history="1">
        <w:r w:rsidR="002A2375" w:rsidRPr="000917FF">
          <w:rPr>
            <w:rStyle w:val="a6"/>
            <w:rFonts w:hint="eastAsia"/>
          </w:rPr>
          <w:t>https://doi.org/10.1038/s41597-023-02569-2</w:t>
        </w:r>
      </w:hyperlink>
    </w:p>
    <w:p w:rsidR="002A2375" w:rsidRPr="002A2375" w:rsidRDefault="002A2375">
      <w:pPr>
        <w:pStyle w:val="a3"/>
      </w:pPr>
      <w:r>
        <w:rPr>
          <w:rFonts w:hint="eastAsia"/>
          <w:vertAlign w:val="superscript"/>
        </w:rPr>
        <w:t>3</w:t>
      </w:r>
      <w:r w:rsidRPr="002A2375">
        <w:t xml:space="preserve"> 2024-2030年中国反洗钱(AML)解决方案行业前景动态与投资战略研究报告</w:t>
      </w:r>
      <w:hyperlink r:id="rId2" w:history="1">
        <w:r w:rsidR="00EE12C2" w:rsidRPr="00EE12C2">
          <w:rPr>
            <w:rStyle w:val="a6"/>
          </w:rPr>
          <w:t>https://www.renrendoc.com/paper/360006585.html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04D7D"/>
    <w:multiLevelType w:val="hybridMultilevel"/>
    <w:tmpl w:val="CFE06642"/>
    <w:lvl w:ilvl="0" w:tplc="AE486B98">
      <w:start w:val="1"/>
      <w:numFmt w:val="bullet"/>
      <w:lvlText w:val="•"/>
      <w:lvlJc w:val="left"/>
      <w:pPr>
        <w:ind w:left="929" w:hanging="440"/>
      </w:pPr>
      <w:rPr>
        <w:rFonts w:ascii="Wingdings" w:hAnsi="Wingdings" w:hint="default"/>
      </w:rPr>
    </w:lvl>
    <w:lvl w:ilvl="1" w:tplc="04090003" w:tentative="1">
      <w:start w:val="1"/>
      <w:numFmt w:val="bullet"/>
      <w:lvlText w:val=""/>
      <w:lvlJc w:val="left"/>
      <w:pPr>
        <w:ind w:left="1369" w:hanging="440"/>
      </w:pPr>
      <w:rPr>
        <w:rFonts w:ascii="Wingdings" w:hAnsi="Wingdings" w:hint="default"/>
      </w:rPr>
    </w:lvl>
    <w:lvl w:ilvl="2" w:tplc="04090005" w:tentative="1">
      <w:start w:val="1"/>
      <w:numFmt w:val="bullet"/>
      <w:lvlText w:val=""/>
      <w:lvlJc w:val="left"/>
      <w:pPr>
        <w:ind w:left="1809" w:hanging="440"/>
      </w:pPr>
      <w:rPr>
        <w:rFonts w:ascii="Wingdings" w:hAnsi="Wingdings" w:hint="default"/>
      </w:rPr>
    </w:lvl>
    <w:lvl w:ilvl="3" w:tplc="04090001" w:tentative="1">
      <w:start w:val="1"/>
      <w:numFmt w:val="bullet"/>
      <w:lvlText w:val=""/>
      <w:lvlJc w:val="left"/>
      <w:pPr>
        <w:ind w:left="2249" w:hanging="440"/>
      </w:pPr>
      <w:rPr>
        <w:rFonts w:ascii="Wingdings" w:hAnsi="Wingdings" w:hint="default"/>
      </w:rPr>
    </w:lvl>
    <w:lvl w:ilvl="4" w:tplc="04090003" w:tentative="1">
      <w:start w:val="1"/>
      <w:numFmt w:val="bullet"/>
      <w:lvlText w:val=""/>
      <w:lvlJc w:val="left"/>
      <w:pPr>
        <w:ind w:left="2689" w:hanging="440"/>
      </w:pPr>
      <w:rPr>
        <w:rFonts w:ascii="Wingdings" w:hAnsi="Wingdings" w:hint="default"/>
      </w:rPr>
    </w:lvl>
    <w:lvl w:ilvl="5" w:tplc="04090005" w:tentative="1">
      <w:start w:val="1"/>
      <w:numFmt w:val="bullet"/>
      <w:lvlText w:val=""/>
      <w:lvlJc w:val="left"/>
      <w:pPr>
        <w:ind w:left="3129" w:hanging="440"/>
      </w:pPr>
      <w:rPr>
        <w:rFonts w:ascii="Wingdings" w:hAnsi="Wingdings" w:hint="default"/>
      </w:rPr>
    </w:lvl>
    <w:lvl w:ilvl="6" w:tplc="04090001" w:tentative="1">
      <w:start w:val="1"/>
      <w:numFmt w:val="bullet"/>
      <w:lvlText w:val=""/>
      <w:lvlJc w:val="left"/>
      <w:pPr>
        <w:ind w:left="3569" w:hanging="440"/>
      </w:pPr>
      <w:rPr>
        <w:rFonts w:ascii="Wingdings" w:hAnsi="Wingdings" w:hint="default"/>
      </w:rPr>
    </w:lvl>
    <w:lvl w:ilvl="7" w:tplc="04090003" w:tentative="1">
      <w:start w:val="1"/>
      <w:numFmt w:val="bullet"/>
      <w:lvlText w:val=""/>
      <w:lvlJc w:val="left"/>
      <w:pPr>
        <w:ind w:left="4009" w:hanging="440"/>
      </w:pPr>
      <w:rPr>
        <w:rFonts w:ascii="Wingdings" w:hAnsi="Wingdings" w:hint="default"/>
      </w:rPr>
    </w:lvl>
    <w:lvl w:ilvl="8" w:tplc="04090005" w:tentative="1">
      <w:start w:val="1"/>
      <w:numFmt w:val="bullet"/>
      <w:lvlText w:val=""/>
      <w:lvlJc w:val="left"/>
      <w:pPr>
        <w:ind w:left="4449" w:hanging="440"/>
      </w:pPr>
      <w:rPr>
        <w:rFonts w:ascii="Wingdings" w:hAnsi="Wingdings" w:hint="default"/>
      </w:rPr>
    </w:lvl>
  </w:abstractNum>
  <w:abstractNum w:abstractNumId="1" w15:restartNumberingAfterBreak="0">
    <w:nsid w:val="342C300E"/>
    <w:multiLevelType w:val="hybridMultilevel"/>
    <w:tmpl w:val="6E24EC6A"/>
    <w:lvl w:ilvl="0" w:tplc="81AC2FFA">
      <w:start w:val="1"/>
      <w:numFmt w:val="decimal"/>
      <w:lvlText w:val="（%1）"/>
      <w:lvlJc w:val="left"/>
      <w:pPr>
        <w:ind w:left="929" w:hanging="440"/>
      </w:pPr>
      <w:rPr>
        <w:rFonts w:hint="eastAsia"/>
      </w:rPr>
    </w:lvl>
    <w:lvl w:ilvl="1" w:tplc="FFFFFFFF" w:tentative="1">
      <w:start w:val="1"/>
      <w:numFmt w:val="bullet"/>
      <w:lvlText w:val=""/>
      <w:lvlJc w:val="left"/>
      <w:pPr>
        <w:ind w:left="1369" w:hanging="440"/>
      </w:pPr>
      <w:rPr>
        <w:rFonts w:ascii="Wingdings" w:hAnsi="Wingdings" w:hint="default"/>
      </w:rPr>
    </w:lvl>
    <w:lvl w:ilvl="2" w:tplc="FFFFFFFF" w:tentative="1">
      <w:start w:val="1"/>
      <w:numFmt w:val="bullet"/>
      <w:lvlText w:val=""/>
      <w:lvlJc w:val="left"/>
      <w:pPr>
        <w:ind w:left="1809" w:hanging="440"/>
      </w:pPr>
      <w:rPr>
        <w:rFonts w:ascii="Wingdings" w:hAnsi="Wingdings" w:hint="default"/>
      </w:rPr>
    </w:lvl>
    <w:lvl w:ilvl="3" w:tplc="FFFFFFFF" w:tentative="1">
      <w:start w:val="1"/>
      <w:numFmt w:val="bullet"/>
      <w:lvlText w:val=""/>
      <w:lvlJc w:val="left"/>
      <w:pPr>
        <w:ind w:left="2249" w:hanging="440"/>
      </w:pPr>
      <w:rPr>
        <w:rFonts w:ascii="Wingdings" w:hAnsi="Wingdings" w:hint="default"/>
      </w:rPr>
    </w:lvl>
    <w:lvl w:ilvl="4" w:tplc="FFFFFFFF" w:tentative="1">
      <w:start w:val="1"/>
      <w:numFmt w:val="bullet"/>
      <w:lvlText w:val=""/>
      <w:lvlJc w:val="left"/>
      <w:pPr>
        <w:ind w:left="2689" w:hanging="440"/>
      </w:pPr>
      <w:rPr>
        <w:rFonts w:ascii="Wingdings" w:hAnsi="Wingdings" w:hint="default"/>
      </w:rPr>
    </w:lvl>
    <w:lvl w:ilvl="5" w:tplc="FFFFFFFF" w:tentative="1">
      <w:start w:val="1"/>
      <w:numFmt w:val="bullet"/>
      <w:lvlText w:val=""/>
      <w:lvlJc w:val="left"/>
      <w:pPr>
        <w:ind w:left="3129" w:hanging="440"/>
      </w:pPr>
      <w:rPr>
        <w:rFonts w:ascii="Wingdings" w:hAnsi="Wingdings" w:hint="default"/>
      </w:rPr>
    </w:lvl>
    <w:lvl w:ilvl="6" w:tplc="FFFFFFFF" w:tentative="1">
      <w:start w:val="1"/>
      <w:numFmt w:val="bullet"/>
      <w:lvlText w:val=""/>
      <w:lvlJc w:val="left"/>
      <w:pPr>
        <w:ind w:left="3569" w:hanging="440"/>
      </w:pPr>
      <w:rPr>
        <w:rFonts w:ascii="Wingdings" w:hAnsi="Wingdings" w:hint="default"/>
      </w:rPr>
    </w:lvl>
    <w:lvl w:ilvl="7" w:tplc="FFFFFFFF" w:tentative="1">
      <w:start w:val="1"/>
      <w:numFmt w:val="bullet"/>
      <w:lvlText w:val=""/>
      <w:lvlJc w:val="left"/>
      <w:pPr>
        <w:ind w:left="4009" w:hanging="440"/>
      </w:pPr>
      <w:rPr>
        <w:rFonts w:ascii="Wingdings" w:hAnsi="Wingdings" w:hint="default"/>
      </w:rPr>
    </w:lvl>
    <w:lvl w:ilvl="8" w:tplc="FFFFFFFF" w:tentative="1">
      <w:start w:val="1"/>
      <w:numFmt w:val="bullet"/>
      <w:lvlText w:val=""/>
      <w:lvlJc w:val="left"/>
      <w:pPr>
        <w:ind w:left="4449" w:hanging="440"/>
      </w:pPr>
      <w:rPr>
        <w:rFonts w:ascii="Wingdings" w:hAnsi="Wingdings" w:hint="default"/>
      </w:rPr>
    </w:lvl>
  </w:abstractNum>
  <w:abstractNum w:abstractNumId="2" w15:restartNumberingAfterBreak="0">
    <w:nsid w:val="35397BF7"/>
    <w:multiLevelType w:val="hybridMultilevel"/>
    <w:tmpl w:val="2822015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B9053B6"/>
    <w:multiLevelType w:val="hybridMultilevel"/>
    <w:tmpl w:val="C25A801C"/>
    <w:lvl w:ilvl="0" w:tplc="04090011">
      <w:start w:val="1"/>
      <w:numFmt w:val="decimal"/>
      <w:lvlText w:val="%1)"/>
      <w:lvlJc w:val="left"/>
      <w:pPr>
        <w:ind w:left="929" w:hanging="440"/>
      </w:pPr>
      <w:rPr>
        <w:rFonts w:hint="eastAsia"/>
      </w:rPr>
    </w:lvl>
    <w:lvl w:ilvl="1" w:tplc="FFFFFFFF" w:tentative="1">
      <w:start w:val="1"/>
      <w:numFmt w:val="bullet"/>
      <w:lvlText w:val=""/>
      <w:lvlJc w:val="left"/>
      <w:pPr>
        <w:ind w:left="1369" w:hanging="440"/>
      </w:pPr>
      <w:rPr>
        <w:rFonts w:ascii="Wingdings" w:hAnsi="Wingdings" w:hint="default"/>
      </w:rPr>
    </w:lvl>
    <w:lvl w:ilvl="2" w:tplc="FFFFFFFF" w:tentative="1">
      <w:start w:val="1"/>
      <w:numFmt w:val="bullet"/>
      <w:lvlText w:val=""/>
      <w:lvlJc w:val="left"/>
      <w:pPr>
        <w:ind w:left="1809" w:hanging="440"/>
      </w:pPr>
      <w:rPr>
        <w:rFonts w:ascii="Wingdings" w:hAnsi="Wingdings" w:hint="default"/>
      </w:rPr>
    </w:lvl>
    <w:lvl w:ilvl="3" w:tplc="FFFFFFFF" w:tentative="1">
      <w:start w:val="1"/>
      <w:numFmt w:val="bullet"/>
      <w:lvlText w:val=""/>
      <w:lvlJc w:val="left"/>
      <w:pPr>
        <w:ind w:left="2249" w:hanging="440"/>
      </w:pPr>
      <w:rPr>
        <w:rFonts w:ascii="Wingdings" w:hAnsi="Wingdings" w:hint="default"/>
      </w:rPr>
    </w:lvl>
    <w:lvl w:ilvl="4" w:tplc="FFFFFFFF" w:tentative="1">
      <w:start w:val="1"/>
      <w:numFmt w:val="bullet"/>
      <w:lvlText w:val=""/>
      <w:lvlJc w:val="left"/>
      <w:pPr>
        <w:ind w:left="2689" w:hanging="440"/>
      </w:pPr>
      <w:rPr>
        <w:rFonts w:ascii="Wingdings" w:hAnsi="Wingdings" w:hint="default"/>
      </w:rPr>
    </w:lvl>
    <w:lvl w:ilvl="5" w:tplc="FFFFFFFF" w:tentative="1">
      <w:start w:val="1"/>
      <w:numFmt w:val="bullet"/>
      <w:lvlText w:val=""/>
      <w:lvlJc w:val="left"/>
      <w:pPr>
        <w:ind w:left="3129" w:hanging="440"/>
      </w:pPr>
      <w:rPr>
        <w:rFonts w:ascii="Wingdings" w:hAnsi="Wingdings" w:hint="default"/>
      </w:rPr>
    </w:lvl>
    <w:lvl w:ilvl="6" w:tplc="FFFFFFFF" w:tentative="1">
      <w:start w:val="1"/>
      <w:numFmt w:val="bullet"/>
      <w:lvlText w:val=""/>
      <w:lvlJc w:val="left"/>
      <w:pPr>
        <w:ind w:left="3569" w:hanging="440"/>
      </w:pPr>
      <w:rPr>
        <w:rFonts w:ascii="Wingdings" w:hAnsi="Wingdings" w:hint="default"/>
      </w:rPr>
    </w:lvl>
    <w:lvl w:ilvl="7" w:tplc="FFFFFFFF" w:tentative="1">
      <w:start w:val="1"/>
      <w:numFmt w:val="bullet"/>
      <w:lvlText w:val=""/>
      <w:lvlJc w:val="left"/>
      <w:pPr>
        <w:ind w:left="4009" w:hanging="440"/>
      </w:pPr>
      <w:rPr>
        <w:rFonts w:ascii="Wingdings" w:hAnsi="Wingdings" w:hint="default"/>
      </w:rPr>
    </w:lvl>
    <w:lvl w:ilvl="8" w:tplc="FFFFFFFF" w:tentative="1">
      <w:start w:val="1"/>
      <w:numFmt w:val="bullet"/>
      <w:lvlText w:val=""/>
      <w:lvlJc w:val="left"/>
      <w:pPr>
        <w:ind w:left="4449" w:hanging="440"/>
      </w:pPr>
      <w:rPr>
        <w:rFonts w:ascii="Wingdings" w:hAnsi="Wingdings" w:hint="default"/>
      </w:rPr>
    </w:lvl>
  </w:abstractNum>
  <w:abstractNum w:abstractNumId="4" w15:restartNumberingAfterBreak="0">
    <w:nsid w:val="5D097687"/>
    <w:multiLevelType w:val="hybridMultilevel"/>
    <w:tmpl w:val="D318C82C"/>
    <w:lvl w:ilvl="0" w:tplc="0409000F">
      <w:start w:val="1"/>
      <w:numFmt w:val="decimal"/>
      <w:lvlText w:val="%1."/>
      <w:lvlJc w:val="left"/>
      <w:pPr>
        <w:ind w:left="929" w:hanging="440"/>
      </w:pPr>
      <w:rPr>
        <w:rFonts w:hint="default"/>
      </w:rPr>
    </w:lvl>
    <w:lvl w:ilvl="1" w:tplc="FFFFFFFF" w:tentative="1">
      <w:start w:val="1"/>
      <w:numFmt w:val="bullet"/>
      <w:lvlText w:val=""/>
      <w:lvlJc w:val="left"/>
      <w:pPr>
        <w:ind w:left="1369" w:hanging="440"/>
      </w:pPr>
      <w:rPr>
        <w:rFonts w:ascii="Wingdings" w:hAnsi="Wingdings" w:hint="default"/>
      </w:rPr>
    </w:lvl>
    <w:lvl w:ilvl="2" w:tplc="FFFFFFFF" w:tentative="1">
      <w:start w:val="1"/>
      <w:numFmt w:val="bullet"/>
      <w:lvlText w:val=""/>
      <w:lvlJc w:val="left"/>
      <w:pPr>
        <w:ind w:left="1809" w:hanging="440"/>
      </w:pPr>
      <w:rPr>
        <w:rFonts w:ascii="Wingdings" w:hAnsi="Wingdings" w:hint="default"/>
      </w:rPr>
    </w:lvl>
    <w:lvl w:ilvl="3" w:tplc="FFFFFFFF" w:tentative="1">
      <w:start w:val="1"/>
      <w:numFmt w:val="bullet"/>
      <w:lvlText w:val=""/>
      <w:lvlJc w:val="left"/>
      <w:pPr>
        <w:ind w:left="2249" w:hanging="440"/>
      </w:pPr>
      <w:rPr>
        <w:rFonts w:ascii="Wingdings" w:hAnsi="Wingdings" w:hint="default"/>
      </w:rPr>
    </w:lvl>
    <w:lvl w:ilvl="4" w:tplc="FFFFFFFF" w:tentative="1">
      <w:start w:val="1"/>
      <w:numFmt w:val="bullet"/>
      <w:lvlText w:val=""/>
      <w:lvlJc w:val="left"/>
      <w:pPr>
        <w:ind w:left="2689" w:hanging="440"/>
      </w:pPr>
      <w:rPr>
        <w:rFonts w:ascii="Wingdings" w:hAnsi="Wingdings" w:hint="default"/>
      </w:rPr>
    </w:lvl>
    <w:lvl w:ilvl="5" w:tplc="FFFFFFFF" w:tentative="1">
      <w:start w:val="1"/>
      <w:numFmt w:val="bullet"/>
      <w:lvlText w:val=""/>
      <w:lvlJc w:val="left"/>
      <w:pPr>
        <w:ind w:left="3129" w:hanging="440"/>
      </w:pPr>
      <w:rPr>
        <w:rFonts w:ascii="Wingdings" w:hAnsi="Wingdings" w:hint="default"/>
      </w:rPr>
    </w:lvl>
    <w:lvl w:ilvl="6" w:tplc="FFFFFFFF" w:tentative="1">
      <w:start w:val="1"/>
      <w:numFmt w:val="bullet"/>
      <w:lvlText w:val=""/>
      <w:lvlJc w:val="left"/>
      <w:pPr>
        <w:ind w:left="3569" w:hanging="440"/>
      </w:pPr>
      <w:rPr>
        <w:rFonts w:ascii="Wingdings" w:hAnsi="Wingdings" w:hint="default"/>
      </w:rPr>
    </w:lvl>
    <w:lvl w:ilvl="7" w:tplc="FFFFFFFF" w:tentative="1">
      <w:start w:val="1"/>
      <w:numFmt w:val="bullet"/>
      <w:lvlText w:val=""/>
      <w:lvlJc w:val="left"/>
      <w:pPr>
        <w:ind w:left="4009" w:hanging="440"/>
      </w:pPr>
      <w:rPr>
        <w:rFonts w:ascii="Wingdings" w:hAnsi="Wingdings" w:hint="default"/>
      </w:rPr>
    </w:lvl>
    <w:lvl w:ilvl="8" w:tplc="FFFFFFFF" w:tentative="1">
      <w:start w:val="1"/>
      <w:numFmt w:val="bullet"/>
      <w:lvlText w:val=""/>
      <w:lvlJc w:val="left"/>
      <w:pPr>
        <w:ind w:left="4449" w:hanging="440"/>
      </w:pPr>
      <w:rPr>
        <w:rFonts w:ascii="Wingdings" w:hAnsi="Wingdings" w:hint="default"/>
      </w:rPr>
    </w:lvl>
  </w:abstractNum>
  <w:num w:numId="1" w16cid:durableId="1681466964">
    <w:abstractNumId w:val="0"/>
  </w:num>
  <w:num w:numId="2" w16cid:durableId="1642809341">
    <w:abstractNumId w:val="4"/>
  </w:num>
  <w:num w:numId="3" w16cid:durableId="1097599637">
    <w:abstractNumId w:val="1"/>
  </w:num>
  <w:num w:numId="4" w16cid:durableId="606423864">
    <w:abstractNumId w:val="3"/>
  </w:num>
  <w:num w:numId="5" w16cid:durableId="3246693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12B5EA9"/>
    <w:rsid w:val="00042408"/>
    <w:rsid w:val="000A0A36"/>
    <w:rsid w:val="002A2375"/>
    <w:rsid w:val="002C52EC"/>
    <w:rsid w:val="004217A3"/>
    <w:rsid w:val="007F0AC6"/>
    <w:rsid w:val="008D58AC"/>
    <w:rsid w:val="00C225A7"/>
    <w:rsid w:val="00CE706A"/>
    <w:rsid w:val="00EE12C2"/>
    <w:rsid w:val="085801BC"/>
    <w:rsid w:val="095962AF"/>
    <w:rsid w:val="19102B74"/>
    <w:rsid w:val="19765D9B"/>
    <w:rsid w:val="30340A63"/>
    <w:rsid w:val="312B5EA9"/>
    <w:rsid w:val="50E4737F"/>
    <w:rsid w:val="7C6244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A171FF7"/>
  <w15:docId w15:val="{C665ACAD-8C17-134E-861C-E03045A7F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宋体" w:eastAsia="宋体" w:hAnsi="宋体"/>
      <w:sz w:val="24"/>
      <w:szCs w:val="24"/>
    </w:rPr>
  </w:style>
  <w:style w:type="paragraph" w:styleId="1">
    <w:name w:val="heading 1"/>
    <w:basedOn w:val="a"/>
    <w:link w:val="10"/>
    <w:uiPriority w:val="9"/>
    <w:qFormat/>
    <w:rsid w:val="002A2375"/>
    <w:pPr>
      <w:widowControl/>
      <w:spacing w:before="100" w:beforeAutospacing="1" w:after="100" w:afterAutospacing="1"/>
      <w:jc w:val="left"/>
      <w:outlineLvl w:val="0"/>
    </w:pPr>
    <w:rPr>
      <w:rFonts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pPr>
      <w:snapToGrid w:val="0"/>
      <w:jc w:val="left"/>
    </w:pPr>
    <w:rPr>
      <w:sz w:val="18"/>
    </w:rPr>
  </w:style>
  <w:style w:type="character" w:styleId="a4">
    <w:name w:val="footnote reference"/>
    <w:basedOn w:val="a0"/>
    <w:rPr>
      <w:vertAlign w:val="superscript"/>
    </w:rPr>
  </w:style>
  <w:style w:type="paragraph" w:styleId="a5">
    <w:name w:val="List Paragraph"/>
    <w:basedOn w:val="a"/>
    <w:uiPriority w:val="99"/>
    <w:unhideWhenUsed/>
    <w:rsid w:val="002C52EC"/>
    <w:pPr>
      <w:ind w:firstLineChars="200" w:firstLine="420"/>
    </w:pPr>
  </w:style>
  <w:style w:type="character" w:customStyle="1" w:styleId="10">
    <w:name w:val="标题 1 字符"/>
    <w:basedOn w:val="a0"/>
    <w:link w:val="1"/>
    <w:uiPriority w:val="9"/>
    <w:rsid w:val="002A2375"/>
    <w:rPr>
      <w:rFonts w:ascii="宋体" w:eastAsia="宋体" w:hAnsi="宋体" w:cs="宋体"/>
      <w:b/>
      <w:bCs/>
      <w:kern w:val="36"/>
      <w:sz w:val="48"/>
      <w:szCs w:val="48"/>
    </w:rPr>
  </w:style>
  <w:style w:type="character" w:styleId="a6">
    <w:name w:val="Hyperlink"/>
    <w:basedOn w:val="a0"/>
    <w:rsid w:val="002A2375"/>
    <w:rPr>
      <w:color w:val="0026E5" w:themeColor="hyperlink"/>
      <w:u w:val="single"/>
    </w:rPr>
  </w:style>
  <w:style w:type="character" w:styleId="a7">
    <w:name w:val="Unresolved Mention"/>
    <w:basedOn w:val="a0"/>
    <w:uiPriority w:val="99"/>
    <w:semiHidden/>
    <w:unhideWhenUsed/>
    <w:rsid w:val="002A23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763351">
      <w:bodyDiv w:val="1"/>
      <w:marLeft w:val="0"/>
      <w:marRight w:val="0"/>
      <w:marTop w:val="0"/>
      <w:marBottom w:val="0"/>
      <w:divBdr>
        <w:top w:val="none" w:sz="0" w:space="0" w:color="auto"/>
        <w:left w:val="none" w:sz="0" w:space="0" w:color="auto"/>
        <w:bottom w:val="none" w:sz="0" w:space="0" w:color="auto"/>
        <w:right w:val="none" w:sz="0" w:space="0" w:color="auto"/>
      </w:divBdr>
    </w:div>
    <w:div w:id="376856062">
      <w:bodyDiv w:val="1"/>
      <w:marLeft w:val="0"/>
      <w:marRight w:val="0"/>
      <w:marTop w:val="0"/>
      <w:marBottom w:val="0"/>
      <w:divBdr>
        <w:top w:val="none" w:sz="0" w:space="0" w:color="auto"/>
        <w:left w:val="none" w:sz="0" w:space="0" w:color="auto"/>
        <w:bottom w:val="none" w:sz="0" w:space="0" w:color="auto"/>
        <w:right w:val="none" w:sz="0" w:space="0" w:color="auto"/>
      </w:divBdr>
    </w:div>
    <w:div w:id="383873468">
      <w:bodyDiv w:val="1"/>
      <w:marLeft w:val="0"/>
      <w:marRight w:val="0"/>
      <w:marTop w:val="0"/>
      <w:marBottom w:val="0"/>
      <w:divBdr>
        <w:top w:val="none" w:sz="0" w:space="0" w:color="auto"/>
        <w:left w:val="none" w:sz="0" w:space="0" w:color="auto"/>
        <w:bottom w:val="none" w:sz="0" w:space="0" w:color="auto"/>
        <w:right w:val="none" w:sz="0" w:space="0" w:color="auto"/>
      </w:divBdr>
    </w:div>
    <w:div w:id="695034809">
      <w:bodyDiv w:val="1"/>
      <w:marLeft w:val="0"/>
      <w:marRight w:val="0"/>
      <w:marTop w:val="0"/>
      <w:marBottom w:val="0"/>
      <w:divBdr>
        <w:top w:val="none" w:sz="0" w:space="0" w:color="auto"/>
        <w:left w:val="none" w:sz="0" w:space="0" w:color="auto"/>
        <w:bottom w:val="none" w:sz="0" w:space="0" w:color="auto"/>
        <w:right w:val="none" w:sz="0" w:space="0" w:color="auto"/>
      </w:divBdr>
    </w:div>
    <w:div w:id="15684221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2" Type="http://schemas.openxmlformats.org/officeDocument/2006/relationships/hyperlink" Target="https://www.renrendoc.com/paper/360006585.html" TargetMode="External"/><Relationship Id="rId1" Type="http://schemas.openxmlformats.org/officeDocument/2006/relationships/hyperlink" Target="https://doi.org/10.1038/s41597-023-02569-2" TargetMode="Externa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691</Words>
  <Characters>3941</Characters>
  <Application>Microsoft Office Word</Application>
  <DocSecurity>0</DocSecurity>
  <Lines>32</Lines>
  <Paragraphs>9</Paragraphs>
  <ScaleCrop>false</ScaleCrop>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zhenzilei0828@gmail.com</cp:lastModifiedBy>
  <cp:revision>4</cp:revision>
  <dcterms:created xsi:type="dcterms:W3CDTF">2025-02-11T06:18:00Z</dcterms:created>
  <dcterms:modified xsi:type="dcterms:W3CDTF">2025-02-11T06:59:00Z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A8F0DC523D324A31A4E863F9FD097FA8_11</vt:lpwstr>
  </property>
  <property fmtid="{D5CDD505-2E9C-101B-9397-08002B2CF9AE}" pid="4" name="KSOTemplateDocerSaveRecord">
    <vt:lpwstr>eyJoZGlkIjoiZWQxM2Q4OWU4NzAzNTg1YzQzN2ZhNDFlMzI1NGEwMzgiLCJ1c2VySWQiOiIxMDcxMDEyNTA5In0=</vt:lpwstr>
  </property>
</Properties>
</file>