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2B39" w14:textId="77777777" w:rsidR="009A13FE" w:rsidRDefault="00000000">
      <w:pPr>
        <w:pStyle w:val="a5"/>
        <w:numPr>
          <w:ilvl w:val="1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註冊頁面</w:t>
      </w:r>
    </w:p>
    <w:p w14:paraId="2931D131" w14:textId="77777777" w:rsidR="009A13FE" w:rsidRDefault="00000000">
      <w:pPr>
        <w:pStyle w:val="a5"/>
        <w:snapToGrid w:val="0"/>
        <w:ind w:left="96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</w:rPr>
        <w:t>為企業用戶的註冊頁面，非登入頁面，而且要跟平台的登入頁面切開來，以防止不知情的用戶進行註冊</w:t>
      </w:r>
      <w:r>
        <w:rPr>
          <w:rFonts w:ascii="微軟正黑體" w:eastAsia="微軟正黑體" w:hAnsi="微軟正黑體"/>
        </w:rPr>
        <w:t>。</w:t>
      </w:r>
    </w:p>
    <w:p w14:paraId="520032F8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註冊時需要有企業的基本資訊，例如：企業全名、地址、企業信箱、編統等等，一般使用者誤入也無法透過註冊</w:t>
      </w:r>
    </w:p>
    <w:p w14:paraId="3AFA4DBF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方案選擇，以及繳費，未完成繳費時，無法開通功能</w:t>
      </w:r>
    </w:p>
    <w:p w14:paraId="4AE5B609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highlight w:val="lightGray"/>
        </w:rPr>
        <w:t>試用方案，透過邦鉑後台的訂閱用戶功能與權限設計，設計出試用功能內容與對應權限，以及試用天數</w:t>
      </w:r>
    </w:p>
    <w:p w14:paraId="3AB736E8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產業別與代理商為必填資訊，當代理商與BOOKING FORM不一致時，需跳出彈窗。(BOOKING功能在代理商後台)</w:t>
      </w:r>
    </w:p>
    <w:p w14:paraId="130EE5E0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代理商問題反應：當註冊時代理商跟預期不一致，導致逃出跳窗無法註冊時，可以經由此功能，反應綁定的代理商出錯，然後交由我方進行確認，</w:t>
      </w:r>
      <w:r>
        <w:rPr>
          <w:rFonts w:ascii="微軟正黑體" w:eastAsia="微軟正黑體" w:hAnsi="微軟正黑體" w:hint="eastAsia"/>
          <w:highlight w:val="lightGray"/>
        </w:rPr>
        <w:t>這邊的流程細節再討論</w:t>
      </w:r>
    </w:p>
    <w:p w14:paraId="1CC3D2BD" w14:textId="77777777" w:rsidR="009A13FE" w:rsidRDefault="00000000">
      <w:pPr>
        <w:pStyle w:val="a5"/>
        <w:numPr>
          <w:ilvl w:val="1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L0</w:t>
      </w:r>
      <w:r>
        <w:rPr>
          <w:rFonts w:ascii="微軟正黑體" w:eastAsia="微軟正黑體" w:hAnsi="微軟正黑體"/>
          <w:b/>
          <w:bCs/>
          <w:sz w:val="28"/>
          <w:szCs w:val="28"/>
        </w:rPr>
        <w:t xml:space="preserve"> - 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後台</w:t>
      </w:r>
      <w:r>
        <w:rPr>
          <w:rFonts w:ascii="微軟正黑體" w:eastAsia="微軟正黑體" w:hAnsi="微軟正黑體"/>
          <w:b/>
          <w:bCs/>
          <w:sz w:val="28"/>
          <w:szCs w:val="28"/>
        </w:rPr>
        <w:t>系統核心</w:t>
      </w:r>
    </w:p>
    <w:p w14:paraId="21BB4C99" w14:textId="77777777" w:rsidR="009A13FE" w:rsidRDefault="00000000">
      <w:pPr>
        <w:pStyle w:val="a5"/>
        <w:snapToGrid w:val="0"/>
        <w:ind w:left="96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hint="eastAsia"/>
        </w:rPr>
        <w:t>若L0打算設計為後台時，則核心系統的設計應做在不同的sub domain，以便</w:t>
      </w:r>
      <w:r>
        <w:rPr>
          <w:rFonts w:ascii="微軟正黑體" w:eastAsia="微軟正黑體" w:hAnsi="微軟正黑體" w:cs="微軟正黑體" w:hint="eastAsia"/>
        </w:rPr>
        <w:t>「</w:t>
      </w:r>
      <w:r>
        <w:rPr>
          <w:rFonts w:ascii="微軟正黑體" w:eastAsia="微軟正黑體" w:hAnsi="微軟正黑體" w:hint="eastAsia"/>
        </w:rPr>
        <w:t>管理</w:t>
      </w:r>
      <w:r>
        <w:rPr>
          <w:rFonts w:ascii="微軟正黑體" w:eastAsia="微軟正黑體" w:hAnsi="微軟正黑體" w:cs="微軟正黑體" w:hint="eastAsia"/>
        </w:rPr>
        <w:t>」</w:t>
      </w:r>
      <w:r>
        <w:rPr>
          <w:rFonts w:ascii="微軟正黑體" w:eastAsia="微軟正黑體" w:hAnsi="微軟正黑體" w:hint="eastAsia"/>
        </w:rPr>
        <w:t>跟</w:t>
      </w:r>
      <w:r>
        <w:rPr>
          <w:rFonts w:ascii="微軟正黑體" w:eastAsia="微軟正黑體" w:hAnsi="微軟正黑體" w:cs="微軟正黑體" w:hint="eastAsia"/>
        </w:rPr>
        <w:t>「</w:t>
      </w:r>
      <w:r>
        <w:rPr>
          <w:rFonts w:ascii="微軟正黑體" w:eastAsia="微軟正黑體" w:hAnsi="微軟正黑體" w:hint="eastAsia"/>
        </w:rPr>
        <w:t>使用</w:t>
      </w:r>
      <w:r>
        <w:rPr>
          <w:rFonts w:ascii="微軟正黑體" w:eastAsia="微軟正黑體" w:hAnsi="微軟正黑體" w:cs="微軟正黑體" w:hint="eastAsia"/>
        </w:rPr>
        <w:t>」</w:t>
      </w:r>
      <w:r>
        <w:rPr>
          <w:rFonts w:ascii="微軟正黑體" w:eastAsia="微軟正黑體" w:hAnsi="微軟正黑體" w:hint="eastAsia"/>
        </w:rPr>
        <w:t>上分責</w:t>
      </w:r>
      <w:r>
        <w:rPr>
          <w:rFonts w:ascii="微軟正黑體" w:eastAsia="微軟正黑體" w:hAnsi="微軟正黑體"/>
        </w:rPr>
        <w:t>。</w:t>
      </w:r>
    </w:p>
    <w:p w14:paraId="7A835DC6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邦鉑監控後台</w:t>
      </w:r>
    </w:p>
    <w:p w14:paraId="3C136063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用戶儀表板</w:t>
      </w:r>
      <w:r>
        <w:rPr>
          <w:rFonts w:ascii="微軟正黑體" w:eastAsia="微軟正黑體" w:hAnsi="微軟正黑體" w:hint="eastAsia"/>
        </w:rPr>
        <w:t>：提供目前現有產業的代理商數量與用戶數，以及今年與去年同期用戶的比較等等數據呈現</w:t>
      </w:r>
    </w:p>
    <w:p w14:paraId="7C96DDD3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用戶用量頻率儀表板</w:t>
      </w:r>
      <w:r>
        <w:rPr>
          <w:rFonts w:ascii="微軟正黑體" w:eastAsia="微軟正黑體" w:hAnsi="微軟正黑體" w:hint="eastAsia"/>
        </w:rPr>
        <w:t>：使用的企業是否真的有使用，LOG以及使用時間長短，例如，最高權限的使用者有登入，以及各功能停留時長，最後呈現出來</w:t>
      </w:r>
    </w:p>
    <w:p w14:paraId="0E63C5AD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金流儀表板</w:t>
      </w:r>
      <w:r>
        <w:rPr>
          <w:rFonts w:ascii="微軟正黑體" w:eastAsia="微軟正黑體" w:hAnsi="微軟正黑體" w:hint="eastAsia"/>
        </w:rPr>
        <w:t>：提供目前金流統計，包含細項：月租戶、年租戶、各項訂閱服務或單獨計次的服務數量等等，並且可以呈現月、季、半年、年度的金流統計</w:t>
      </w:r>
    </w:p>
    <w:p w14:paraId="08A33884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 w:rsidRPr="00521198">
        <w:rPr>
          <w:rFonts w:ascii="微軟正黑體" w:eastAsia="微軟正黑體" w:hAnsi="微軟正黑體" w:hint="eastAsia"/>
          <w:b/>
          <w:bCs/>
          <w:highlight w:val="yellow"/>
        </w:rPr>
        <w:t>代理商設定</w:t>
      </w:r>
      <w:r>
        <w:rPr>
          <w:rFonts w:ascii="微軟正黑體" w:eastAsia="微軟正黑體" w:hAnsi="微軟正黑體" w:hint="eastAsia"/>
        </w:rPr>
        <w:t>：</w:t>
      </w:r>
    </w:p>
    <w:p w14:paraId="5AAE6F2E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建立、停權指定代理商帳號與產業別</w:t>
      </w:r>
    </w:p>
    <w:p w14:paraId="2DBF81F2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查詢、條件過濾代理商查詢</w:t>
      </w:r>
    </w:p>
    <w:p w14:paraId="251978A3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代理分潤設定：設定各產業或代理的分潤比例，或提供分潤比例範本可以快速套用，不同的服務在分潤上有所不同，應確認其分潤比例與設定，</w:t>
      </w:r>
      <w:r>
        <w:rPr>
          <w:rFonts w:ascii="微軟正黑體" w:eastAsia="微軟正黑體" w:hAnsi="微軟正黑體" w:hint="eastAsia"/>
          <w:highlight w:val="lightGray"/>
        </w:rPr>
        <w:t>當分潤大過一定值時，需示警，避免分潤過多金額導致虧損</w:t>
      </w:r>
    </w:p>
    <w:p w14:paraId="7E73EE89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產業金銀銅代理設定：各產業有金銀銅代理的差別，這部</w:t>
      </w:r>
      <w:r>
        <w:rPr>
          <w:rFonts w:ascii="微軟正黑體" w:eastAsia="微軟正黑體" w:hAnsi="微軟正黑體" w:hint="eastAsia"/>
        </w:rPr>
        <w:lastRenderedPageBreak/>
        <w:t>分便是設定參數套用，能否全自動化則需進一步需求訪談後確認</w:t>
      </w:r>
    </w:p>
    <w:p w14:paraId="3CA53893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分潤的閥值設定</w:t>
      </w:r>
    </w:p>
    <w:p w14:paraId="1D36B540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每月對帳單產出，依分潤值與收入所產出的報表</w:t>
      </w:r>
    </w:p>
    <w:p w14:paraId="45072274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這裡要留意代理商對邦鉑的發票</w:t>
      </w:r>
    </w:p>
    <w:p w14:paraId="32DD1A3E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 w:rsidRPr="00521198">
        <w:rPr>
          <w:rFonts w:ascii="微軟正黑體" w:eastAsia="微軟正黑體" w:hAnsi="微軟正黑體" w:hint="eastAsia"/>
          <w:b/>
          <w:bCs/>
          <w:highlight w:val="yellow"/>
        </w:rPr>
        <w:t>繳費金流設計</w:t>
      </w:r>
      <w:r>
        <w:rPr>
          <w:rFonts w:ascii="微軟正黑體" w:eastAsia="微軟正黑體" w:hAnsi="微軟正黑體" w:hint="eastAsia"/>
        </w:rPr>
        <w:t>：用戶繳費確認，當用戶透過系統產出繳費資訊，或透過email提醒並寄送繳費單：</w:t>
      </w:r>
    </w:p>
    <w:p w14:paraId="2DD6103C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留意報價未稅，以及繳費含稅的問題</w:t>
      </w:r>
    </w:p>
    <w:p w14:paraId="3B86F514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虛擬帳戶繳費，繳完後系統自動確認，系統自動延長時間，或啟動功能。(AI功能加購則採用序號啟動)</w:t>
      </w:r>
    </w:p>
    <w:p w14:paraId="72F97D49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highlight w:val="lightGray"/>
        </w:rPr>
      </w:pPr>
      <w:r>
        <w:rPr>
          <w:rFonts w:ascii="微軟正黑體" w:eastAsia="微軟正黑體" w:hAnsi="微軟正黑體" w:hint="eastAsia"/>
          <w:highlight w:val="lightGray"/>
        </w:rPr>
        <w:t>繳費後，自動開立發票發送到企業信箱，跟海外發票由新加波開立，格式跟必要資訊，由邦鉑再提供</w:t>
      </w:r>
    </w:p>
    <w:p w14:paraId="579661AF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highlight w:val="lightGray"/>
        </w:rPr>
      </w:pPr>
      <w:r>
        <w:rPr>
          <w:rFonts w:ascii="微軟正黑體" w:eastAsia="微軟正黑體" w:hAnsi="微軟正黑體" w:hint="eastAsia"/>
          <w:highlight w:val="lightGray"/>
        </w:rPr>
        <w:t>月結時，代理商會開立分潤的發票給邦鉑，再由邦鉑進行分潤</w:t>
      </w:r>
    </w:p>
    <w:p w14:paraId="0D23651C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highlight w:val="lightGray"/>
        </w:rPr>
      </w:pPr>
      <w:r>
        <w:rPr>
          <w:rFonts w:ascii="微軟正黑體" w:eastAsia="微軟正黑體" w:hAnsi="微軟正黑體" w:hint="eastAsia"/>
          <w:highlight w:val="lightGray"/>
        </w:rPr>
        <w:t>可考慮TWQR的方式實作，以減少金流串接的時間，而虛擬帳號匯款的方式，則可視申請的時程，再看是否要開發後上線。</w:t>
      </w:r>
      <w:r>
        <w:rPr>
          <w:rFonts w:ascii="微軟正黑體" w:eastAsia="微軟正黑體" w:hAnsi="微軟正黑體" w:hint="eastAsia"/>
          <w:highlight w:val="lightGray"/>
        </w:rPr>
        <w:fldChar w:fldCharType="begin"/>
      </w:r>
      <w:r>
        <w:rPr>
          <w:rFonts w:ascii="微軟正黑體" w:eastAsia="微軟正黑體" w:hAnsi="微軟正黑體" w:hint="eastAsia"/>
          <w:highlight w:val="lightGray"/>
        </w:rPr>
        <w:instrText xml:space="preserve"> HYPERLINK "https://www.twqr.com.tw/" </w:instrText>
      </w:r>
      <w:r>
        <w:rPr>
          <w:rFonts w:ascii="微軟正黑體" w:eastAsia="微軟正黑體" w:hAnsi="微軟正黑體" w:hint="eastAsia"/>
          <w:highlight w:val="lightGray"/>
        </w:rPr>
      </w:r>
      <w:r>
        <w:rPr>
          <w:rFonts w:ascii="微軟正黑體" w:eastAsia="微軟正黑體" w:hAnsi="微軟正黑體" w:hint="eastAsia"/>
          <w:highlight w:val="lightGray"/>
        </w:rPr>
        <w:fldChar w:fldCharType="separate"/>
      </w:r>
      <w:r>
        <w:rPr>
          <w:rStyle w:val="a3"/>
          <w:rFonts w:ascii="微軟正黑體" w:eastAsia="微軟正黑體" w:hAnsi="微軟正黑體" w:hint="eastAsia"/>
          <w:highlight w:val="lightGray"/>
        </w:rPr>
        <w:t>https://www.twqr.com.tw/</w:t>
      </w:r>
      <w:r>
        <w:rPr>
          <w:rFonts w:ascii="微軟正黑體" w:eastAsia="微軟正黑體" w:hAnsi="微軟正黑體" w:hint="eastAsia"/>
          <w:highlight w:val="lightGray"/>
        </w:rPr>
        <w:fldChar w:fldCharType="end"/>
      </w:r>
    </w:p>
    <w:p w14:paraId="3A7D7EBD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中央狀態監控板</w:t>
      </w:r>
      <w:r>
        <w:rPr>
          <w:rFonts w:ascii="微軟正黑體" w:eastAsia="微軟正黑體" w:hAnsi="微軟正黑體" w:hint="eastAsia"/>
        </w:rPr>
        <w:t>（System Health Board）：伺服器的負載、硬碟空間等資訊的監控</w:t>
      </w:r>
    </w:p>
    <w:p w14:paraId="2DAAF4F4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訂閱用戶功能與權限設計</w:t>
      </w:r>
      <w:r>
        <w:rPr>
          <w:rFonts w:ascii="微軟正黑體" w:eastAsia="微軟正黑體" w:hAnsi="微軟正黑體" w:hint="eastAsia"/>
        </w:rPr>
        <w:t>：不同層級的訂閱角色有著不同的使用額度或功能，能設計各角色名稱、其功能的差異與額度的說明</w:t>
      </w:r>
    </w:p>
    <w:p w14:paraId="2A92EFDD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用戶模組設定：配合我們的訂價策略，可以設定各種不同用戶的權限</w:t>
      </w:r>
    </w:p>
    <w:p w14:paraId="0CE6D128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用戶模組權限：例如：基礎用戶，包含L0、L1、L2模組功能；小資用戶，包含...等等</w:t>
      </w:r>
    </w:p>
    <w:p w14:paraId="19A65D8F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方案的天數設定：每個方案都有其效期，預設為一年，但可以修訂，例如：試用方案可能僅有7或14天的時間</w:t>
      </w:r>
    </w:p>
    <w:p w14:paraId="405FBE2A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用戶模組的費用設定：</w:t>
      </w:r>
      <w:r>
        <w:rPr>
          <w:rFonts w:ascii="微軟正黑體" w:eastAsia="微軟正黑體" w:hAnsi="微軟正黑體" w:hint="eastAsia"/>
          <w:highlight w:val="lightGray"/>
        </w:rPr>
        <w:t>算人數或算帳號權限數量，這部分待跟我方業務討論</w:t>
      </w:r>
    </w:p>
    <w:p w14:paraId="2148A8BD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費用設定與繳費單的產出是關聯的，所有訂價都是未稅，待結帳時，會再額外加稅上去</w:t>
      </w:r>
    </w:p>
    <w:p w14:paraId="2FF8CA7E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AI功能若設定在用戶功能下，則綁定該AI訂閱用戶的角色，以及其對應的用戶數量</w:t>
      </w:r>
    </w:p>
    <w:p w14:paraId="36BA1041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升級時，其差額的計算由升級方案價格-原方案價格(以原價計算)，依天數比例，計算升級費用</w:t>
      </w:r>
    </w:p>
    <w:p w14:paraId="5D4097DA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AI訂閱的功能設定：隨著模組的開發或AI功能的上線，不同的功能可能會有限制，同時只能幾個account上線使用</w:t>
      </w:r>
    </w:p>
    <w:p w14:paraId="25CF54D1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可設計不同AI訂閱者的角色，該角色會有對應的收費金額、用戶數量限制等等</w:t>
      </w:r>
    </w:p>
    <w:p w14:paraId="4EE18161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當｢用戶模組｣具備特定的AI用戶角色時，則將該AI用戶角色掛到用戶模組之中，不需再額外收費。同時，在用戶繳費時，或升級用戶功能時，不應出再現該AI用戶角色(但能往上升級，若有的話)</w:t>
      </w:r>
    </w:p>
    <w:p w14:paraId="4A9ADBF1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硬碟空間的設定，例如：用戶上傳的使用容量的控管</w:t>
      </w:r>
    </w:p>
    <w:p w14:paraId="49707672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可設定訂閱用戶的預設硬碟空間</w:t>
      </w:r>
    </w:p>
    <w:p w14:paraId="1CD4FFC2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可手動修改特定用戶的硬碟空間大小，這部分不需要設計太複雜，待收費模式更清楚後，再評估能否自動化處理，不然就以收費後人工調整</w:t>
      </w:r>
    </w:p>
    <w:p w14:paraId="1088CC0E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閥值設定提醒，設定當用戶剩餘空間不足時，則會每日由排程發信提醒</w:t>
      </w:r>
    </w:p>
    <w:p w14:paraId="11EE91FE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系統信件模版管理</w:t>
      </w:r>
    </w:p>
    <w:p w14:paraId="7C3E18EB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自定義模版樣式，並存儲模版名稱與用途。可有開關設定是否開放給代理商或企業用戶</w:t>
      </w:r>
    </w:p>
    <w:p w14:paraId="746FA35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建立通知信件的模版，包含：</w:t>
      </w:r>
    </w:p>
    <w:p w14:paraId="1BCF8284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信件模版名稱</w:t>
      </w:r>
    </w:p>
    <w:p w14:paraId="0EF61553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信件主題</w:t>
      </w:r>
    </w:p>
    <w:p w14:paraId="77FC8D2E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模版內容及對應參數，例如：代理商名稱、用戶名稱、指定日期等等，區分為系統參數或固定參數</w:t>
      </w:r>
    </w:p>
    <w:p w14:paraId="419FFD73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發送對象：代理商、全用戶，例如：平台維護時發送給全用戶，教育訓練或行銷規劃發給代理商等等情境使用</w:t>
      </w:r>
    </w:p>
    <w:p w14:paraId="20873C7D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預覽樣式，填入假資料，預覽信件的發送內容</w:t>
      </w:r>
    </w:p>
    <w:p w14:paraId="42742AD7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發送對象要能分類代理商、用戶，方便寄送時點選</w:t>
      </w:r>
    </w:p>
    <w:p w14:paraId="7CFE7B4D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信件預設的功能信件模版僅能修訂，無法刪除。新增的模版可以鎖定避免誤刪</w:t>
      </w:r>
    </w:p>
    <w:p w14:paraId="24BF48D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信件發送，在選定模版後，可以即時發送或指定時間發送</w:t>
      </w:r>
    </w:p>
    <w:p w14:paraId="0840D5F2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代理商監控後台</w:t>
      </w:r>
    </w:p>
    <w:p w14:paraId="54F5DD2D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用戶儀表板</w:t>
      </w:r>
      <w:r>
        <w:rPr>
          <w:rFonts w:ascii="微軟正黑體" w:eastAsia="微軟正黑體" w:hAnsi="微軟正黑體" w:hint="eastAsia"/>
        </w:rPr>
        <w:t>：與邦鉑監控後台功能一樣，但僅限其代理的用戶</w:t>
      </w:r>
    </w:p>
    <w:p w14:paraId="7D6994C1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金流儀表板</w:t>
      </w:r>
      <w:r>
        <w:rPr>
          <w:rFonts w:ascii="微軟正黑體" w:eastAsia="微軟正黑體" w:hAnsi="微軟正黑體" w:hint="eastAsia"/>
        </w:rPr>
        <w:t>：與邦鉑監控後台功能一樣，但僅限其代理的用戶</w:t>
      </w:r>
    </w:p>
    <w:p w14:paraId="71E3EF14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用戶設定</w:t>
      </w:r>
      <w:r>
        <w:rPr>
          <w:rFonts w:ascii="微軟正黑體" w:eastAsia="微軟正黑體" w:hAnsi="微軟正黑體" w:hint="eastAsia"/>
        </w:rPr>
        <w:t>：</w:t>
      </w:r>
    </w:p>
    <w:p w14:paraId="65424AC0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查詢、條件過濾用戶查詢，除系統可以設定到期前的email提醒外，呈現時應以用戶剩餘使用日期排序顯示，並且可以手動發送繳費提醒</w:t>
      </w:r>
    </w:p>
    <w:p w14:paraId="024C6E9D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BOOKING設定：選定產業別、統一編號、企業名稱，進行三個月的鎖定，除了該代理商外，其他代理商無法與其聯繫。</w:t>
      </w:r>
      <w:r>
        <w:rPr>
          <w:rFonts w:ascii="微軟正黑體" w:eastAsia="微軟正黑體" w:hAnsi="微軟正黑體" w:hint="eastAsia"/>
          <w:highlight w:val="lightGray"/>
        </w:rPr>
        <w:t>這功能與企業用戶註冊連動，當企業用戶註冊時，代理商不一致時，無法進行註冊</w:t>
      </w:r>
    </w:p>
    <w:p w14:paraId="66A1E36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匯出資料申請：代理商提出用戶資料匯出申請後，由我方負責用戶的系統資料匯出與匯入，使用AES-256對稱加密，將資料匯出，金鑰則保留在系統當中，當日後用戶重新使用本系統時，可選擇將過去的資料再度匯入，我們可以透過檔案將資料寫回系統，</w:t>
      </w:r>
      <w:r>
        <w:rPr>
          <w:rFonts w:ascii="微軟正黑體" w:eastAsia="微軟正黑體" w:hAnsi="微軟正黑體" w:hint="eastAsia"/>
          <w:highlight w:val="lightGray"/>
        </w:rPr>
        <w:t>匯出資訊與格式可以再進一步討論(包含停用用戶的資料保存年限)，除系統資料外，以及個人PII的檔案外，不加密</w:t>
      </w:r>
    </w:p>
    <w:p w14:paraId="3139AE5F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系統信件模版管理</w:t>
      </w:r>
    </w:p>
    <w:p w14:paraId="4BF414FC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建立通知信件的模版，包含：</w:t>
      </w:r>
    </w:p>
    <w:p w14:paraId="494B09D1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選擇模版</w:t>
      </w:r>
    </w:p>
    <w:p w14:paraId="0E0EDFAF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信件模版名稱</w:t>
      </w:r>
    </w:p>
    <w:p w14:paraId="6D6D419E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信件主題</w:t>
      </w:r>
    </w:p>
    <w:p w14:paraId="079048EA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模版為邦鉑提供的樣式，無法改變。儘能針對模版內容及對應參數，例如：用戶名稱、指定日期等等，區分為系統參數或固定參數</w:t>
      </w:r>
    </w:p>
    <w:p w14:paraId="52DEEBA7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發送對象：代理的用戶；預設會密件副本給邦鉑指定的信箱留存</w:t>
      </w:r>
    </w:p>
    <w:p w14:paraId="02B7B72C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如代理商要從自己的mail server發信的話，要考慮能設定mail server路徑</w:t>
      </w:r>
    </w:p>
    <w:p w14:paraId="04B9111C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預覽樣式，填入假資料，預覽信件的發送內容</w:t>
      </w:r>
    </w:p>
    <w:p w14:paraId="52E609FC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信件預設的功能信件模版僅能修訂，無法刪除。</w:t>
      </w:r>
    </w:p>
    <w:p w14:paraId="2AC024FB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信件發送，在選定模版後，可以即時發送或指定時間發送</w:t>
      </w:r>
    </w:p>
    <w:p w14:paraId="6D1A8383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產業報告</w:t>
      </w:r>
    </w:p>
    <w:p w14:paraId="04B31AD3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highlight w:val="lightGray"/>
        </w:rPr>
        <w:t>資料源由我方的用戶為基礎，經由AI產出對應的報告</w:t>
      </w:r>
    </w:p>
    <w:p w14:paraId="6649C67F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用戶系統設定後台</w:t>
      </w:r>
      <w:r>
        <w:rPr>
          <w:rFonts w:ascii="微軟正黑體" w:eastAsia="微軟正黑體" w:hAnsi="微軟正黑體" w:hint="eastAsia"/>
          <w:szCs w:val="24"/>
        </w:rPr>
        <w:t>（</w:t>
      </w:r>
      <w:r>
        <w:rPr>
          <w:rFonts w:ascii="微軟正黑體" w:eastAsia="微軟正黑體" w:hAnsi="微軟正黑體" w:hint="eastAsia"/>
          <w:b/>
          <w:bCs/>
          <w:szCs w:val="24"/>
          <w:u w:val="single"/>
        </w:rPr>
        <w:t>MIS角色</w:t>
      </w:r>
      <w:r>
        <w:rPr>
          <w:rFonts w:ascii="微軟正黑體" w:eastAsia="微軟正黑體" w:hAnsi="微軟正黑體" w:hint="eastAsia"/>
          <w:szCs w:val="24"/>
        </w:rPr>
        <w:t>）</w:t>
      </w:r>
    </w:p>
    <w:p w14:paraId="0C2FDED6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b/>
          <w:bCs/>
        </w:rPr>
        <w:t>權限控制與組織架構整合</w:t>
      </w:r>
    </w:p>
    <w:p w14:paraId="48ECDAD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建立多層角色權限架構（</w:t>
      </w:r>
      <w:r>
        <w:rPr>
          <w:rFonts w:ascii="微軟正黑體" w:eastAsia="微軟正黑體" w:hAnsi="微軟正黑體" w:hint="eastAsia"/>
          <w:b/>
          <w:bCs/>
          <w:szCs w:val="24"/>
          <w:u w:val="single"/>
        </w:rPr>
        <w:t>模組 / 功能 / 資料列</w:t>
      </w:r>
      <w:r>
        <w:rPr>
          <w:rFonts w:ascii="微軟正黑體" w:eastAsia="微軟正黑體" w:hAnsi="微軟正黑體" w:hint="eastAsia"/>
          <w:szCs w:val="24"/>
        </w:rPr>
        <w:t>）</w:t>
      </w:r>
    </w:p>
    <w:p w14:paraId="3527265A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  <w:highlight w:val="yellow"/>
        </w:rPr>
        <w:t>同步組織圖與部門結構</w:t>
      </w:r>
    </w:p>
    <w:p w14:paraId="1B21CDB9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  <w:highlight w:val="yellow"/>
        </w:rPr>
        <w:t>組織架構圖須從組織-部門-個人-資料列</w:t>
      </w:r>
    </w:p>
    <w:p w14:paraId="10C0B352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提供權限範圍可視化設定介面，包含角色控制文件查閱與編輯權限</w:t>
      </w:r>
    </w:p>
    <w:p w14:paraId="4543D1F7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/>
          <w:b/>
          <w:bCs/>
        </w:rPr>
        <w:t>授權與稽核機制</w:t>
      </w:r>
    </w:p>
    <w:p w14:paraId="2730FBDD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生成稽核報告與異常追蹤</w:t>
      </w:r>
    </w:p>
    <w:p w14:paraId="64C4471A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查詢操作日誌與角色歷程</w:t>
      </w:r>
    </w:p>
    <w:p w14:paraId="75842F33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/>
          <w:b/>
          <w:bCs/>
        </w:rPr>
        <w:t>系統整合與監控</w:t>
      </w:r>
    </w:p>
    <w:p w14:paraId="1E392DDD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建立跨模組共用認證中心（教育 / 績效 / 專案 / 文化管理）</w:t>
      </w:r>
    </w:p>
    <w:p w14:paraId="0F1A0AEF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整合 Google / 104 / Anthropic API 記錄層</w:t>
      </w:r>
    </w:p>
    <w:p w14:paraId="56D20FC6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API的設定，方便用戶自行設定其購買第三方服務串接，這設定包含對應的token與其他細節的資料</w:t>
      </w:r>
    </w:p>
    <w:p w14:paraId="696BA81C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端看已實作的功能再開放</w:t>
      </w:r>
    </w:p>
    <w:p w14:paraId="6CFB9D33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測試驗通功能</w:t>
      </w:r>
    </w:p>
    <w:p w14:paraId="0EAA4E41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b/>
          <w:bCs/>
          <w:szCs w:val="24"/>
        </w:rPr>
        <w:t>平台公告管理</w:t>
      </w:r>
    </w:p>
    <w:p w14:paraId="5379A399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建立系統發布公告</w:t>
      </w:r>
    </w:p>
    <w:p w14:paraId="2599635C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公告時間起迄</w:t>
      </w:r>
    </w:p>
    <w:p w14:paraId="59B61BBE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公告查詢</w:t>
      </w:r>
    </w:p>
    <w:p w14:paraId="7B219D21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>系統信件模版管理</w:t>
      </w:r>
    </w:p>
    <w:p w14:paraId="1AD9B69D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此為系統既有功能的信件模版修改，包含：</w:t>
      </w:r>
    </w:p>
    <w:p w14:paraId="03E6A581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信件模版名稱</w:t>
      </w:r>
    </w:p>
    <w:p w14:paraId="193BA4E0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信件主題</w:t>
      </w:r>
    </w:p>
    <w:p w14:paraId="317DC00D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模版為邦鉑提供的樣式，無法改變。儘能針對模版內容及對應參數，例如：部門類別、職員名稱、指定日</w:t>
      </w:r>
      <w:r>
        <w:rPr>
          <w:rFonts w:ascii="微軟正黑體" w:eastAsia="微軟正黑體" w:hAnsi="微軟正黑體" w:hint="eastAsia"/>
        </w:rPr>
        <w:lastRenderedPageBreak/>
        <w:t>期等等，區分為系統參數或固定參數</w:t>
      </w:r>
    </w:p>
    <w:p w14:paraId="24EB69E6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發送對象：公司職員</w:t>
      </w:r>
    </w:p>
    <w:p w14:paraId="34CA1551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預覽樣式，填入假資料，預覽信件的發送內容</w:t>
      </w:r>
    </w:p>
    <w:p w14:paraId="538F20BF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信件模版為系統功能使用到通知信件模版。用戶僅能修改範本內容，無法新增模版或刪除模版</w:t>
      </w:r>
    </w:p>
    <w:p w14:paraId="3ACE897E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發送時間點由功能畫面決定，或由功能模組決定，無法修改</w:t>
      </w:r>
    </w:p>
    <w:p w14:paraId="395A5C01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/>
          <w:b/>
          <w:bCs/>
        </w:rPr>
        <w:t>文件管理與備份</w:t>
      </w:r>
    </w:p>
    <w:p w14:paraId="469A748F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文件儲存庫：統一管理系統內所有文件（面試評核表、管理辦法、培訓資料等）</w:t>
      </w:r>
    </w:p>
    <w:p w14:paraId="075E7C6C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系統預設資料夾：系統功能所使用的預設資料夾，無法刪除或移動文件，避免功能錯誤，僅有檢視的功能</w:t>
      </w:r>
    </w:p>
    <w:p w14:paraId="6DFB00C0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共享資料夾：除能夠建立、移動文件或刪除資料夾的功能外，刪除時需檢查該資料夾裡是否有文件，此為自定義的文件夾，應該由全公司所共享，可經由權限管理指定該資料夾可由何角色所查看或上傳檔案</w:t>
      </w:r>
    </w:p>
    <w:p w14:paraId="2137854E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szCs w:val="24"/>
        </w:rPr>
        <w:t>僅有系統本身提供的文件資料，會提供不同版本的文件保存</w:t>
      </w:r>
    </w:p>
    <w:p w14:paraId="0D8FD5A9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用量統計與提醒：當儲存空間不足時，會提醒管理員，是否要刪除部分文件，還是加購硬碟空間，刪除檔案時，思考該文件連動的關係，例如：刪除面試的錄音檔時，資料庫中對應存放錄音檔的路徑資料也要清空，避免點選檔案時，發生錯誤</w:t>
      </w:r>
    </w:p>
    <w:p w14:paraId="1D57B166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用戶升級與功能購買</w:t>
      </w:r>
    </w:p>
    <w:p w14:paraId="6F8E139E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用戶是以年為單位進行系統的付費</w:t>
      </w:r>
    </w:p>
    <w:p w14:paraId="01874995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可檢視目前購買的模組以及其他付費功能的使用量狀況</w:t>
      </w:r>
    </w:p>
    <w:p w14:paraId="3E94A23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可針對獨立功能進行購買，例如：AI功能模組的付費、RITE的採購等等</w:t>
      </w:r>
    </w:p>
    <w:p w14:paraId="31E40A1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highlight w:val="lightGray"/>
        </w:rPr>
        <w:t>升級時，其差額的計算由升級方案價格-原方案價格(以原價計算)，依天數比例，計算升級費用</w:t>
      </w:r>
    </w:p>
    <w:p w14:paraId="38DA7DF5" w14:textId="77777777" w:rsidR="009A13FE" w:rsidRDefault="009A13FE">
      <w:pPr>
        <w:pStyle w:val="a5"/>
        <w:snapToGrid w:val="0"/>
        <w:ind w:left="0"/>
        <w:rPr>
          <w:rFonts w:ascii="微軟正黑體" w:eastAsia="微軟正黑體" w:hAnsi="微軟正黑體"/>
          <w:b/>
          <w:bCs/>
          <w:szCs w:val="24"/>
        </w:rPr>
      </w:pPr>
    </w:p>
    <w:p w14:paraId="45CD21AA" w14:textId="77777777" w:rsidR="009A13FE" w:rsidRDefault="00000000">
      <w:pPr>
        <w:pStyle w:val="a5"/>
        <w:numPr>
          <w:ilvl w:val="1"/>
          <w:numId w:val="1"/>
        </w:numPr>
        <w:snapToGrid w:val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 xml:space="preserve">L0 - 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前台</w:t>
      </w:r>
      <w:r>
        <w:rPr>
          <w:rFonts w:ascii="微軟正黑體" w:eastAsia="微軟正黑體" w:hAnsi="微軟正黑體"/>
          <w:b/>
          <w:bCs/>
          <w:sz w:val="28"/>
          <w:szCs w:val="28"/>
        </w:rPr>
        <w:t>儀表層</w:t>
      </w:r>
      <w:r>
        <w:rPr>
          <w:rFonts w:ascii="微軟正黑體" w:eastAsia="微軟正黑體" w:hAnsi="微軟正黑體"/>
          <w:b/>
          <w:bCs/>
          <w:sz w:val="28"/>
          <w:szCs w:val="28"/>
        </w:rPr>
        <w:br/>
      </w:r>
      <w:r>
        <w:rPr>
          <w:rFonts w:ascii="微軟正黑體" w:eastAsia="微軟正黑體" w:hAnsi="微軟正黑體" w:hint="eastAsia"/>
        </w:rPr>
        <w:t>為前台提</w:t>
      </w:r>
      <w:r>
        <w:rPr>
          <w:rFonts w:ascii="微軟正黑體" w:eastAsia="微軟正黑體" w:hAnsi="微軟正黑體"/>
        </w:rPr>
        <w:t>供全模組的整合儀表板與統一架構入口，協助組織角色化視圖</w:t>
      </w:r>
      <w:r>
        <w:rPr>
          <w:rFonts w:ascii="微軟正黑體" w:eastAsia="微軟正黑體" w:hAnsi="微軟正黑體"/>
        </w:rPr>
        <w:lastRenderedPageBreak/>
        <w:t>與核心資料整合與管控。</w:t>
      </w:r>
      <w:r>
        <w:rPr>
          <w:rFonts w:ascii="微軟正黑體" w:eastAsia="微軟正黑體" w:hAnsi="微軟正黑體" w:hint="eastAsia"/>
        </w:rPr>
        <w:t>此功能暫不為任何模組的功能當中，暫時為獨立的功能選單呈現即可。下列功能，則會依角色不同，而看到不同的功能列表</w:t>
      </w:r>
    </w:p>
    <w:p w14:paraId="11450EE9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 w:hint="eastAsia"/>
          <w:b/>
          <w:bCs/>
          <w:szCs w:val="24"/>
        </w:rPr>
        <w:t>系統公告</w:t>
      </w:r>
    </w:p>
    <w:p w14:paraId="6E68FC3A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 w:hint="eastAsia"/>
          <w:szCs w:val="24"/>
        </w:rPr>
        <w:t>提供公司平台公告</w:t>
      </w:r>
    </w:p>
    <w:p w14:paraId="69915324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/>
          <w:b/>
          <w:bCs/>
        </w:rPr>
        <w:t>企業管理儀表板</w:t>
      </w:r>
    </w:p>
    <w:p w14:paraId="072F8ADC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提供角色導向視圖（高階主管、HR、部門主管、員工）</w:t>
      </w:r>
    </w:p>
    <w:p w14:paraId="45EEDA49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整合即時資料流（員工 / 專案 / 績效模組）</w:t>
      </w:r>
    </w:p>
    <w:p w14:paraId="7738FD7B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生成企業使用的 績效 摘要（自動一句話狀態總結）</w:t>
      </w:r>
    </w:p>
    <w:p w14:paraId="0EA6D18C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根據角色權限顯示不同維度 績效 摘要</w:t>
      </w:r>
    </w:p>
    <w:p w14:paraId="30C19C4F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Working Flow 可視化：呈現各部門職責與協作關係圖，展示跨部門工作流程與溝通節點</w:t>
      </w:r>
    </w:p>
    <w:p w14:paraId="6241AC82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產業生態鏈</w:t>
      </w:r>
    </w:p>
    <w:p w14:paraId="4150C51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提供不同的產業生態鏈的查詢</w:t>
      </w:r>
    </w:p>
    <w:p w14:paraId="00B37237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可透過系統發送合作邀請</w:t>
      </w:r>
    </w:p>
    <w:p w14:paraId="61C2FDCF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設定並提供對外窗口的email</w:t>
      </w:r>
    </w:p>
    <w:p w14:paraId="3B72A3B1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參考，產業生態圖：</w:t>
      </w:r>
      <w:r>
        <w:rPr>
          <w:rFonts w:ascii="微軟正黑體" w:eastAsia="微軟正黑體" w:hAnsi="微軟正黑體" w:hint="eastAsia"/>
          <w:szCs w:val="24"/>
        </w:rPr>
        <w:fldChar w:fldCharType="begin"/>
      </w:r>
      <w:r>
        <w:rPr>
          <w:rFonts w:ascii="微軟正黑體" w:eastAsia="微軟正黑體" w:hAnsi="微軟正黑體" w:hint="eastAsia"/>
          <w:szCs w:val="24"/>
        </w:rPr>
        <w:instrText xml:space="preserve"> HYPERLINK "https://stratplat-8kn4h6gp.manus.space/situation" </w:instrText>
      </w:r>
      <w:r>
        <w:rPr>
          <w:rFonts w:ascii="微軟正黑體" w:eastAsia="微軟正黑體" w:hAnsi="微軟正黑體" w:hint="eastAsia"/>
          <w:szCs w:val="24"/>
        </w:rPr>
      </w:r>
      <w:r>
        <w:rPr>
          <w:rFonts w:ascii="微軟正黑體" w:eastAsia="微軟正黑體" w:hAnsi="微軟正黑體" w:hint="eastAsia"/>
          <w:szCs w:val="24"/>
        </w:rPr>
        <w:fldChar w:fldCharType="separate"/>
      </w:r>
      <w:r>
        <w:rPr>
          <w:rStyle w:val="a3"/>
          <w:rFonts w:ascii="微軟正黑體" w:eastAsia="微軟正黑體" w:hAnsi="微軟正黑體" w:hint="eastAsia"/>
          <w:szCs w:val="24"/>
        </w:rPr>
        <w:t>https://stratplat-8kn4h6gp.manus.space/situation</w:t>
      </w:r>
      <w:r>
        <w:rPr>
          <w:rFonts w:ascii="微軟正黑體" w:eastAsia="微軟正黑體" w:hAnsi="微軟正黑體" w:hint="eastAsia"/>
          <w:szCs w:val="24"/>
        </w:rPr>
        <w:fldChar w:fldCharType="end"/>
      </w:r>
    </w:p>
    <w:p w14:paraId="29AA5EC2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潛在名單，從專案管理的客戶名單整理</w:t>
      </w:r>
    </w:p>
    <w:p w14:paraId="6A9F214A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BOOKIN FORM，鎖定與開放，從試用名單，或新客戶鎖定</w:t>
      </w:r>
    </w:p>
    <w:p w14:paraId="35D8B757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</w:rPr>
        <w:t>同類型的產業報告</w:t>
      </w:r>
    </w:p>
    <w:p w14:paraId="17C87AF5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b/>
          <w:bCs/>
          <w:szCs w:val="24"/>
        </w:rPr>
        <w:t>個人待辦清單儀表版</w:t>
      </w:r>
    </w:p>
    <w:p w14:paraId="6A4F9CCF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提供目前待簽核中的資訊</w:t>
      </w:r>
    </w:p>
    <w:p w14:paraId="63426391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提供目前的工作項目清單，顯示時間期限以及必要的提醒</w:t>
      </w:r>
    </w:p>
    <w:p w14:paraId="5DBBAA78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提供今日/本週的會議資訊與時間</w:t>
      </w:r>
    </w:p>
    <w:p w14:paraId="16E7F5D4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b/>
          <w:bCs/>
          <w:szCs w:val="24"/>
        </w:rPr>
        <w:t>會議管理（從L1移至L0前台）</w:t>
      </w:r>
    </w:p>
    <w:p w14:paraId="2633137D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會議管理模組提供從會議前準備、會議中記錄到會議後追蹤的完整生命週期管理。</w:t>
      </w:r>
    </w:p>
    <w:p w14:paraId="59A9E1FD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參照</w:t>
      </w:r>
      <w:r>
        <w:rPr>
          <w:rFonts w:ascii="微軟正黑體" w:eastAsia="微軟正黑體" w:hAnsi="微軟正黑體" w:cs="微軟正黑體" w:hint="eastAsia"/>
        </w:rPr>
        <w:t>「</w:t>
      </w:r>
      <w:proofErr w:type="spellStart"/>
      <w:r>
        <w:rPr>
          <w:rFonts w:ascii="微軟正黑體" w:eastAsia="微軟正黑體" w:hAnsi="微軟正黑體" w:hint="eastAsia"/>
          <w:b/>
          <w:bCs/>
          <w:szCs w:val="24"/>
        </w:rPr>
        <w:t>Snecefore</w:t>
      </w:r>
      <w:proofErr w:type="spellEnd"/>
      <w:r>
        <w:rPr>
          <w:rFonts w:ascii="微軟正黑體" w:eastAsia="微軟正黑體" w:hAnsi="微軟正黑體" w:hint="eastAsia"/>
          <w:b/>
          <w:bCs/>
          <w:szCs w:val="24"/>
        </w:rPr>
        <w:t>系統規格書_20260206.docx</w:t>
      </w:r>
      <w:r>
        <w:rPr>
          <w:rFonts w:ascii="微軟正黑體" w:eastAsia="微軟正黑體" w:hAnsi="微軟正黑體" w:cs="微軟正黑體" w:hint="eastAsia"/>
        </w:rPr>
        <w:t>」</w:t>
      </w:r>
      <w:r>
        <w:rPr>
          <w:rFonts w:ascii="微軟正黑體" w:eastAsia="微軟正黑體" w:hAnsi="微軟正黑體" w:hint="eastAsia"/>
          <w:szCs w:val="24"/>
        </w:rPr>
        <w:t>裡的會議管理章節</w:t>
      </w:r>
    </w:p>
    <w:p w14:paraId="427559CA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會議管理的步驟模版，用戶可以選擇是否需要這些流程。設定可以做在後台</w:t>
      </w:r>
    </w:p>
    <w:p w14:paraId="35A66E3A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lastRenderedPageBreak/>
        <w:t>決定會議結論如何查看或提醒</w:t>
      </w:r>
    </w:p>
    <w:p w14:paraId="14D8C7CB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 w:hint="eastAsia"/>
          <w:b/>
          <w:bCs/>
          <w:szCs w:val="24"/>
        </w:rPr>
        <w:t>簽核管理</w:t>
      </w:r>
    </w:p>
    <w:p w14:paraId="50D7A24A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匯集平台內所有的簽核項目，集中並管理簽核作業</w:t>
      </w:r>
    </w:p>
    <w:p w14:paraId="66E98B01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此功能並非讓客戶能新增簽核流程，因為涉及到功能的實作。但平台所有的涉及到簽核的部分，會有預設的流程模版</w:t>
      </w:r>
    </w:p>
    <w:p w14:paraId="0971E355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客戶能編輯預設簽核模版節點的使用者。</w:t>
      </w:r>
    </w:p>
    <w:p w14:paraId="407564F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以人才招募流程為例</w:t>
      </w:r>
    </w:p>
    <w:p w14:paraId="7617685A" w14:textId="77777777" w:rsidR="009A13FE" w:rsidRDefault="00000000">
      <w:pPr>
        <w:pStyle w:val="a5"/>
        <w:snapToGrid w:val="0"/>
        <w:ind w:left="192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 xml:space="preserve">HR起稿 -&gt; 送審(卡控) -&gt; </w:t>
      </w:r>
      <w:r>
        <w:rPr>
          <w:rFonts w:ascii="微軟正黑體" w:eastAsia="微軟正黑體" w:hAnsi="微軟正黑體" w:hint="eastAsia"/>
          <w:szCs w:val="24"/>
          <w:highlight w:val="red"/>
        </w:rPr>
        <w:t>HR主管審核</w:t>
      </w:r>
      <w:r>
        <w:rPr>
          <w:rFonts w:ascii="微軟正黑體" w:eastAsia="微軟正黑體" w:hAnsi="微軟正黑體" w:hint="eastAsia"/>
          <w:szCs w:val="24"/>
        </w:rPr>
        <w:t xml:space="preserve"> -&gt; 發布</w:t>
      </w:r>
    </w:p>
    <w:p w14:paraId="1C27C0F7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所有的HR都能使用人才招募的功能，起稿後送審</w:t>
      </w:r>
    </w:p>
    <w:p w14:paraId="66B7F678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由於A公司沒有編制HR主管的角色，所以由</w:t>
      </w:r>
      <w:r>
        <w:rPr>
          <w:rFonts w:ascii="微軟正黑體" w:eastAsia="微軟正黑體" w:hAnsi="微軟正黑體" w:hint="eastAsia"/>
          <w:szCs w:val="24"/>
          <w:highlight w:val="red"/>
        </w:rPr>
        <w:t>路人甲</w:t>
      </w:r>
      <w:r>
        <w:rPr>
          <w:rFonts w:ascii="微軟正黑體" w:eastAsia="微軟正黑體" w:hAnsi="微軟正黑體" w:hint="eastAsia"/>
          <w:szCs w:val="24"/>
        </w:rPr>
        <w:t>行使用人才發布審核，但路人甲不具HR主管權限</w:t>
      </w:r>
    </w:p>
    <w:p w14:paraId="422D6334" w14:textId="77777777" w:rsidR="009A13FE" w:rsidRDefault="00000000">
      <w:pPr>
        <w:pStyle w:val="a5"/>
        <w:numPr>
          <w:ilvl w:val="5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將節點權限，加入路人甲，所以流程會變成：</w:t>
      </w:r>
    </w:p>
    <w:p w14:paraId="2C81E939" w14:textId="77777777" w:rsidR="009A13FE" w:rsidRDefault="00000000">
      <w:pPr>
        <w:pStyle w:val="a5"/>
        <w:snapToGrid w:val="0"/>
        <w:ind w:left="192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HR起稿 -&gt; 送審(卡控) -&gt; HR主管審核、</w:t>
      </w:r>
      <w:r>
        <w:rPr>
          <w:rFonts w:ascii="微軟正黑體" w:eastAsia="微軟正黑體" w:hAnsi="微軟正黑體" w:hint="eastAsia"/>
          <w:szCs w:val="24"/>
          <w:highlight w:val="red"/>
        </w:rPr>
        <w:t>路人甲</w:t>
      </w:r>
      <w:r>
        <w:rPr>
          <w:rFonts w:ascii="微軟正黑體" w:eastAsia="微軟正黑體" w:hAnsi="微軟正黑體" w:hint="eastAsia"/>
          <w:szCs w:val="24"/>
        </w:rPr>
        <w:t xml:space="preserve"> -&gt; 發布</w:t>
      </w:r>
    </w:p>
    <w:p w14:paraId="1C67CACA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此設計是為了避免客戶組織可能充滿各種情況，無法使用統一的簽核流程角色設計，但又需要特定人選來處理此業務的折衷方式</w:t>
      </w:r>
    </w:p>
    <w:p w14:paraId="54B50748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目前盤點的簽核有：(L1、L2)</w:t>
      </w:r>
    </w:p>
    <w:p w14:paraId="0C9CA7FA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人才招募：當HR送審職缺時觸發</w:t>
      </w:r>
    </w:p>
    <w:p w14:paraId="4CECC3EC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t>新增會議（準備）</w:t>
      </w:r>
      <w:r>
        <w:rPr>
          <w:rFonts w:ascii="微軟正黑體" w:eastAsia="微軟正黑體" w:hAnsi="微軟正黑體" w:hint="eastAsia"/>
          <w:szCs w:val="24"/>
        </w:rPr>
        <w:t>：這裡的簽核需要再確認細節</w:t>
      </w:r>
    </w:p>
    <w:p w14:paraId="4F0B8490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人才晉用：當面試完成後，面試官建議錄用時觸發</w:t>
      </w:r>
    </w:p>
    <w:p w14:paraId="7CFB58D5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職務說明書：新增、修訂、刪除時觸發</w:t>
      </w:r>
    </w:p>
    <w:p w14:paraId="5DFD06E6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職能模型基準：新增、修訂、刪除時觸發</w:t>
      </w:r>
    </w:p>
    <w:p w14:paraId="444E47A3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人才晉升：升職時觸發</w:t>
      </w:r>
    </w:p>
    <w:p w14:paraId="0EB92C38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人才加薪：調整薪資時觸發</w:t>
      </w:r>
    </w:p>
    <w:p w14:paraId="1D4E3A10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職務異動：跨部門發展、部門輪調時觸發</w:t>
      </w:r>
    </w:p>
    <w:p w14:paraId="533F1411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離職程序：當員工提出離職申請時觸發</w:t>
      </w:r>
    </w:p>
    <w:p w14:paraId="1B91FBCE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b/>
          <w:bCs/>
          <w:szCs w:val="24"/>
        </w:rPr>
        <w:t>個人文件管理</w:t>
      </w:r>
    </w:p>
    <w:p w14:paraId="34536DB2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統一由此上傳或管理其個人所屬的文件</w:t>
      </w:r>
    </w:p>
    <w:p w14:paraId="5B1E69FF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L1的員工檔案僅為資料呈現，但不涉及到處理問題</w:t>
      </w:r>
    </w:p>
    <w:p w14:paraId="6F01AEF6" w14:textId="77777777" w:rsidR="009A13FE" w:rsidRDefault="009A13FE">
      <w:pPr>
        <w:pStyle w:val="a5"/>
        <w:snapToGrid w:val="0"/>
        <w:ind w:left="960"/>
        <w:rPr>
          <w:rFonts w:ascii="微軟正黑體" w:eastAsia="微軟正黑體" w:hAnsi="微軟正黑體"/>
          <w:szCs w:val="24"/>
        </w:rPr>
      </w:pPr>
    </w:p>
    <w:p w14:paraId="5C9F3FAE" w14:textId="77777777" w:rsidR="009A13FE" w:rsidRDefault="00000000">
      <w:pPr>
        <w:pStyle w:val="a5"/>
        <w:numPr>
          <w:ilvl w:val="1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L1 - 員工管理模組</w:t>
      </w:r>
    </w:p>
    <w:p w14:paraId="7F0B7CD4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功能參照「</w:t>
      </w:r>
      <w:proofErr w:type="spellStart"/>
      <w:r>
        <w:rPr>
          <w:rFonts w:ascii="微軟正黑體" w:eastAsia="微軟正黑體" w:hAnsi="微軟正黑體" w:hint="eastAsia"/>
          <w:b/>
          <w:bCs/>
          <w:sz w:val="28"/>
          <w:szCs w:val="28"/>
        </w:rPr>
        <w:t>Snecefore</w:t>
      </w:r>
      <w:proofErr w:type="spellEnd"/>
      <w:r>
        <w:rPr>
          <w:rFonts w:ascii="微軟正黑體" w:eastAsia="微軟正黑體" w:hAnsi="微軟正黑體" w:hint="eastAsia"/>
          <w:b/>
          <w:bCs/>
          <w:sz w:val="28"/>
          <w:szCs w:val="28"/>
        </w:rPr>
        <w:t>系統規格書_20260206.docx」文件</w:t>
      </w:r>
    </w:p>
    <w:p w14:paraId="1014A07B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會議管理從L1移置L0的前台部分</w:t>
      </w:r>
    </w:p>
    <w:p w14:paraId="0967ADC5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員工檔案</w:t>
      </w:r>
    </w:p>
    <w:p w14:paraId="26A93C07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增加「人才晉升」功能</w:t>
      </w:r>
    </w:p>
    <w:p w14:paraId="336163FF" w14:textId="77777777" w:rsidR="009A13FE" w:rsidRDefault="00000000">
      <w:pPr>
        <w:pStyle w:val="a5"/>
        <w:numPr>
          <w:ilvl w:val="4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參考：</w:t>
      </w:r>
      <w:r>
        <w:rPr>
          <w:rFonts w:ascii="微軟正黑體" w:eastAsia="微軟正黑體" w:hAnsi="微軟正黑體" w:hint="eastAsia"/>
          <w:szCs w:val="24"/>
        </w:rPr>
        <w:fldChar w:fldCharType="begin"/>
      </w:r>
      <w:r>
        <w:rPr>
          <w:rFonts w:ascii="微軟正黑體" w:eastAsia="微軟正黑體" w:hAnsi="微軟正黑體" w:hint="eastAsia"/>
          <w:szCs w:val="24"/>
        </w:rPr>
        <w:instrText xml:space="preserve"> HYPERLINK "https://sencefore-cez3dtwn.manus.space/promotion" </w:instrText>
      </w:r>
      <w:r>
        <w:rPr>
          <w:rFonts w:ascii="微軟正黑體" w:eastAsia="微軟正黑體" w:hAnsi="微軟正黑體" w:hint="eastAsia"/>
          <w:szCs w:val="24"/>
        </w:rPr>
      </w:r>
      <w:r>
        <w:rPr>
          <w:rFonts w:ascii="微軟正黑體" w:eastAsia="微軟正黑體" w:hAnsi="微軟正黑體" w:hint="eastAsia"/>
          <w:szCs w:val="24"/>
        </w:rPr>
        <w:fldChar w:fldCharType="separate"/>
      </w:r>
      <w:r>
        <w:rPr>
          <w:rStyle w:val="a4"/>
          <w:rFonts w:ascii="微軟正黑體" w:eastAsia="微軟正黑體" w:hAnsi="微軟正黑體" w:hint="eastAsia"/>
          <w:szCs w:val="24"/>
        </w:rPr>
        <w:t>https://sencefore-cez3dtwn.manus.space/promotion</w:t>
      </w:r>
      <w:r>
        <w:rPr>
          <w:rFonts w:ascii="微軟正黑體" w:eastAsia="微軟正黑體" w:hAnsi="微軟正黑體" w:hint="eastAsia"/>
          <w:szCs w:val="24"/>
        </w:rPr>
        <w:fldChar w:fldCharType="end"/>
      </w:r>
    </w:p>
    <w:p w14:paraId="2DF902CE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增加「人才加薪」功能，與半年/年度考核的功能結合</w:t>
      </w:r>
    </w:p>
    <w:p w14:paraId="74AAE36C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增加「職務異動」功能，功能按鈕實作在那，填寫的資料有那些，可進一步討論</w:t>
      </w:r>
    </w:p>
    <w:p w14:paraId="02C974F9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增加「離職程序」功能，功能按鈕實作在那，填寫的資料有那些，可進一步討論，流程：離職面談、指定人選、個人工作項目交接、財產清單繳回確認，系統註銷與權限轉移、與104HRM系統串接狀態變更</w:t>
      </w:r>
    </w:p>
    <w:p w14:paraId="0C510CEE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出缺勤管理</w:t>
      </w:r>
    </w:p>
    <w:p w14:paraId="755066A8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提供主管、個人查詢</w:t>
      </w:r>
    </w:p>
    <w:p w14:paraId="7EBD2E55" w14:textId="77777777" w:rsidR="009A13FE" w:rsidRDefault="00000000">
      <w:pPr>
        <w:pStyle w:val="a5"/>
        <w:numPr>
          <w:ilvl w:val="3"/>
          <w:numId w:val="1"/>
        </w:numPr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個人資料匯入(資料則從104HRM導出)，提供匯入模版</w:t>
      </w:r>
    </w:p>
    <w:p w14:paraId="74B0CC79" w14:textId="77777777" w:rsidR="009A13FE" w:rsidRDefault="009A13FE">
      <w:pPr>
        <w:pStyle w:val="a5"/>
        <w:snapToGrid w:val="0"/>
        <w:ind w:left="0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65D12DB3" w14:textId="77777777" w:rsidR="009A13FE" w:rsidRDefault="00000000">
      <w:pPr>
        <w:pStyle w:val="a5"/>
        <w:numPr>
          <w:ilvl w:val="1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L2 - 職能管理模組</w:t>
      </w:r>
    </w:p>
    <w:p w14:paraId="7858A917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功能參照「</w:t>
      </w:r>
      <w:proofErr w:type="spellStart"/>
      <w:r>
        <w:rPr>
          <w:rFonts w:ascii="微軟正黑體" w:eastAsia="微軟正黑體" w:hAnsi="微軟正黑體" w:hint="eastAsia"/>
          <w:b/>
          <w:bCs/>
          <w:sz w:val="28"/>
          <w:szCs w:val="28"/>
        </w:rPr>
        <w:t>Snecefore</w:t>
      </w:r>
      <w:proofErr w:type="spellEnd"/>
      <w:r>
        <w:rPr>
          <w:rFonts w:ascii="微軟正黑體" w:eastAsia="微軟正黑體" w:hAnsi="微軟正黑體" w:hint="eastAsia"/>
          <w:b/>
          <w:bCs/>
          <w:sz w:val="28"/>
          <w:szCs w:val="28"/>
        </w:rPr>
        <w:t>系統規格書_20260206.docx」文件</w:t>
      </w:r>
    </w:p>
    <w:p w14:paraId="05F24FDD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資料呈現的方式可以參考下列網址的版型：</w:t>
      </w:r>
    </w:p>
    <w:p w14:paraId="5949B1FD" w14:textId="77777777" w:rsidR="009A13FE" w:rsidRDefault="00000000">
      <w:pPr>
        <w:pStyle w:val="a5"/>
        <w:snapToGrid w:val="0"/>
        <w:ind w:left="960"/>
        <w:rPr>
          <w:rFonts w:ascii="微軟正黑體" w:eastAsia="微軟正黑體" w:hAnsi="微軟正黑體"/>
          <w:b/>
          <w:bCs/>
          <w:sz w:val="28"/>
          <w:szCs w:val="28"/>
        </w:rPr>
      </w:pPr>
      <w:hyperlink r:id="rId5" w:history="1">
        <w:r>
          <w:rPr>
            <w:rStyle w:val="a3"/>
            <w:rFonts w:ascii="微軟正黑體" w:eastAsia="微軟正黑體" w:hAnsi="微軟正黑體" w:hint="eastAsia"/>
            <w:b/>
            <w:bCs/>
            <w:sz w:val="28"/>
            <w:szCs w:val="28"/>
          </w:rPr>
          <w:t>https://sencefore-cez3dtwn.manus.space/</w:t>
        </w:r>
      </w:hyperlink>
    </w:p>
    <w:p w14:paraId="0B62E9EA" w14:textId="77777777" w:rsidR="009A13FE" w:rsidRDefault="00000000">
      <w:pPr>
        <w:pStyle w:val="a5"/>
        <w:numPr>
          <w:ilvl w:val="2"/>
          <w:numId w:val="1"/>
        </w:numPr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L2是提供晉升的基礎資料與門檻，但員工職務相關的異動，不在此實作</w:t>
      </w:r>
    </w:p>
    <w:sectPr w:rsidR="009A13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061D"/>
    <w:multiLevelType w:val="multilevel"/>
    <w:tmpl w:val="5ABE061D"/>
    <w:lvl w:ilvl="0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taiwaneseCountingThousand"/>
      <w:lvlText w:val="%2."/>
      <w:lvlJc w:val="left"/>
      <w:pPr>
        <w:ind w:left="960" w:hanging="480"/>
      </w:pPr>
      <w:rPr>
        <w:rFonts w:hint="eastAsia"/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  <w:b w:val="0"/>
        <w:bCs w:val="0"/>
      </w:rPr>
    </w:lvl>
    <w:lvl w:ilvl="3">
      <w:start w:val="1"/>
      <w:numFmt w:val="decimal"/>
      <w:lvlText w:val="1.%4"/>
      <w:lvlJc w:val="left"/>
      <w:pPr>
        <w:ind w:left="1920" w:hanging="480"/>
      </w:pPr>
      <w:rPr>
        <w:rFonts w:hint="default"/>
        <w:b w:val="0"/>
        <w:bCs w:val="0"/>
      </w:rPr>
    </w:lvl>
    <w:lvl w:ilvl="4">
      <w:start w:val="1"/>
      <w:numFmt w:val="decimal"/>
      <w:lvlText w:val="(%5)"/>
      <w:lvlJc w:val="left"/>
      <w:pPr>
        <w:ind w:left="2400" w:hanging="480"/>
      </w:pPr>
      <w:rPr>
        <w:rFonts w:hint="eastAsia"/>
        <w:b w:val="0"/>
        <w:bCs w:val="0"/>
      </w:rPr>
    </w:lvl>
    <w:lvl w:ilvl="5">
      <w:start w:val="1"/>
      <w:numFmt w:val="upperLetter"/>
      <w:lvlText w:val="%6."/>
      <w:lvlJc w:val="left"/>
      <w:pPr>
        <w:ind w:left="2880" w:hanging="480"/>
      </w:pPr>
    </w:lvl>
    <w:lvl w:ilvl="6">
      <w:start w:val="1"/>
      <w:numFmt w:val="lowerLetter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Roman"/>
      <w:lvlText w:val="%8."/>
      <w:lvlJc w:val="righ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59594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CDD4E91"/>
    <w:rsid w:val="001B1B62"/>
    <w:rsid w:val="00521198"/>
    <w:rsid w:val="00555935"/>
    <w:rsid w:val="009A13FE"/>
    <w:rsid w:val="00B358F4"/>
    <w:rsid w:val="01474EA6"/>
    <w:rsid w:val="01DC338D"/>
    <w:rsid w:val="023A16F5"/>
    <w:rsid w:val="024408DF"/>
    <w:rsid w:val="024B6E08"/>
    <w:rsid w:val="03984491"/>
    <w:rsid w:val="04A26983"/>
    <w:rsid w:val="057F0120"/>
    <w:rsid w:val="064D4BFA"/>
    <w:rsid w:val="071F2A3E"/>
    <w:rsid w:val="07B018BF"/>
    <w:rsid w:val="08CC7237"/>
    <w:rsid w:val="0BBA253B"/>
    <w:rsid w:val="0CEB7C94"/>
    <w:rsid w:val="0E247AFB"/>
    <w:rsid w:val="0E8B0B0A"/>
    <w:rsid w:val="0E96341E"/>
    <w:rsid w:val="10CC5BD0"/>
    <w:rsid w:val="12F02B19"/>
    <w:rsid w:val="14316CAE"/>
    <w:rsid w:val="143538C7"/>
    <w:rsid w:val="160D6B52"/>
    <w:rsid w:val="173F3E5E"/>
    <w:rsid w:val="175A674B"/>
    <w:rsid w:val="18C57A32"/>
    <w:rsid w:val="195A15FF"/>
    <w:rsid w:val="1AD75285"/>
    <w:rsid w:val="1BDE2525"/>
    <w:rsid w:val="1C643C8D"/>
    <w:rsid w:val="1DB945BC"/>
    <w:rsid w:val="1DF71BFD"/>
    <w:rsid w:val="1EDC2C1A"/>
    <w:rsid w:val="1FD151EC"/>
    <w:rsid w:val="21ED1AF3"/>
    <w:rsid w:val="226A7B95"/>
    <w:rsid w:val="242A6565"/>
    <w:rsid w:val="24301DF9"/>
    <w:rsid w:val="247F3ECB"/>
    <w:rsid w:val="24DC0560"/>
    <w:rsid w:val="25A71967"/>
    <w:rsid w:val="25B924F3"/>
    <w:rsid w:val="271A2793"/>
    <w:rsid w:val="27334CFB"/>
    <w:rsid w:val="275F0E61"/>
    <w:rsid w:val="277A12EB"/>
    <w:rsid w:val="27E97AAD"/>
    <w:rsid w:val="28787773"/>
    <w:rsid w:val="294B069B"/>
    <w:rsid w:val="2A973A83"/>
    <w:rsid w:val="2DF91EDD"/>
    <w:rsid w:val="2FAA688C"/>
    <w:rsid w:val="30B17391"/>
    <w:rsid w:val="310C502A"/>
    <w:rsid w:val="323460BD"/>
    <w:rsid w:val="324A4137"/>
    <w:rsid w:val="330D4456"/>
    <w:rsid w:val="340A580E"/>
    <w:rsid w:val="34E91392"/>
    <w:rsid w:val="35BE7EFE"/>
    <w:rsid w:val="36C5227C"/>
    <w:rsid w:val="376932B2"/>
    <w:rsid w:val="37E94413"/>
    <w:rsid w:val="38922426"/>
    <w:rsid w:val="3942463B"/>
    <w:rsid w:val="39684223"/>
    <w:rsid w:val="39B75184"/>
    <w:rsid w:val="3A896114"/>
    <w:rsid w:val="3B9F4B6D"/>
    <w:rsid w:val="3C69360E"/>
    <w:rsid w:val="431E79AD"/>
    <w:rsid w:val="435C7492"/>
    <w:rsid w:val="439954D5"/>
    <w:rsid w:val="43AA1790"/>
    <w:rsid w:val="440E6F01"/>
    <w:rsid w:val="4443536F"/>
    <w:rsid w:val="453441BC"/>
    <w:rsid w:val="45BF75D2"/>
    <w:rsid w:val="45F02AFA"/>
    <w:rsid w:val="45FD5429"/>
    <w:rsid w:val="46796DD8"/>
    <w:rsid w:val="4711204E"/>
    <w:rsid w:val="4ACA0943"/>
    <w:rsid w:val="4B375DFC"/>
    <w:rsid w:val="4C052EF5"/>
    <w:rsid w:val="4C9F09E9"/>
    <w:rsid w:val="4DCA143E"/>
    <w:rsid w:val="4DF9516D"/>
    <w:rsid w:val="4ED914B1"/>
    <w:rsid w:val="51BF41E5"/>
    <w:rsid w:val="51EF789D"/>
    <w:rsid w:val="527D34D3"/>
    <w:rsid w:val="53A3372D"/>
    <w:rsid w:val="558E1F81"/>
    <w:rsid w:val="56D42182"/>
    <w:rsid w:val="57FA7011"/>
    <w:rsid w:val="58056124"/>
    <w:rsid w:val="5A376D05"/>
    <w:rsid w:val="5A464E37"/>
    <w:rsid w:val="5C681874"/>
    <w:rsid w:val="5CDD4E91"/>
    <w:rsid w:val="5EE11EB8"/>
    <w:rsid w:val="60BB3179"/>
    <w:rsid w:val="61D6334A"/>
    <w:rsid w:val="631321A0"/>
    <w:rsid w:val="65625874"/>
    <w:rsid w:val="67420199"/>
    <w:rsid w:val="68556E5A"/>
    <w:rsid w:val="68CB7E7A"/>
    <w:rsid w:val="69C60CDF"/>
    <w:rsid w:val="6D325B85"/>
    <w:rsid w:val="6DEB344E"/>
    <w:rsid w:val="6EC52B6C"/>
    <w:rsid w:val="7245480B"/>
    <w:rsid w:val="724D0C1A"/>
    <w:rsid w:val="74074200"/>
    <w:rsid w:val="742F36BA"/>
    <w:rsid w:val="76D3215C"/>
    <w:rsid w:val="780F5216"/>
    <w:rsid w:val="788616D7"/>
    <w:rsid w:val="78DC307D"/>
    <w:rsid w:val="7B99740A"/>
    <w:rsid w:val="7CBA4F9A"/>
    <w:rsid w:val="7D5B3637"/>
    <w:rsid w:val="7D974F61"/>
    <w:rsid w:val="7E9C1A45"/>
    <w:rsid w:val="7F47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5C55DC89-AC69-DE49-AE45-149A2E7A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Pr>
      <w:color w:val="0000FF"/>
      <w:u w:val="single"/>
    </w:rPr>
  </w:style>
  <w:style w:type="character" w:styleId="a4">
    <w:name w:val="FollowedHyperlink"/>
    <w:qFormat/>
    <w:rPr>
      <w:color w:val="800080"/>
      <w:u w:val="single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cefore-cez3dtwn.manus.spa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9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drink</dc:creator>
  <cp:lastModifiedBy>Bo-Ren Syu</cp:lastModifiedBy>
  <cp:revision>2</cp:revision>
  <dcterms:created xsi:type="dcterms:W3CDTF">2026-03-02T10:09:00Z</dcterms:created>
  <dcterms:modified xsi:type="dcterms:W3CDTF">2026-03-10T02:25:00Z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3076-12.1.0.25242</vt:lpwstr>
  </property>
  <property fmtid="{D5CDD505-2E9C-101B-9397-08002B2CF9AE}" pid="3" name="ICV">
    <vt:lpwstr>A99D61A9201E44CAB04B63F5DBD7D27E_11</vt:lpwstr>
  </property>
  <property fmtid="{D5CDD505-2E9C-101B-9397-08002B2CF9AE}" pid="4" name="KSOTemplateDocerSaveRecord">
    <vt:lpwstr>eyJoZGlkIjoiZmEwODM1YWE2MWNmNGZjZTdmYTA5MGNlN2QwZjI2OTIifQ==</vt:lpwstr>
  </property>
</Properties>
</file>