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28"/>
          <w:szCs w:val="28"/>
        </w:rPr>
        <w:t xml:space="preserve">軟體開發合約附錄</w:t>
      </w:r>
    </w:p>
    <w:p>
      <w:pPr>
        <w:spacing w:before="0"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40"/>
          <w:szCs w:val="40"/>
        </w:rPr>
        <w:t xml:space="preserve">需求變更管理（CR）條款</w:t>
      </w:r>
    </w:p>
    <w:p>
      <w:pPr>
        <w:spacing w:before="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Contract Addendum: Change Request Management Clauses</w:t>
      </w:r>
    </w:p>
    <w:p>
      <w:pPr>
        <w:pBdr>
          <w:bottom w:val="double" w:color="4A6359" w:sz="12"/>
        </w:pBdr>
        <w:spacing w:before="0" w:after="240"/>
      </w:pPr>
      <w:r>
        <w:t xml:space="preserve"/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主合約編號：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　　簽訂日期：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 年 ___ 月 ___ 日</w:t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甲方（委託方）：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0" w:after="20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乙方（受託方）：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240"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— 前　言 —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鑒於甲方（以下簡稱「客戶」）委託乙方（以下簡稱「開發團隊」）執行軟體開發專案，雙方為釐清專案執行期間因需求變動所衍生之工時、費用與時程影響，並建立可預期、可追蹤之變更管理機制，特訂立本附錄條款。本附錄為主合約之一部分，與主合約具同等法律效力。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本附錄旨在透過明確之認定標準與流程規範，降低雙方因需求變動所產生之溝通摩擦與爭議，並確保專案能依約如期、如質交付。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一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名詞定義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為避免歧義，本附錄所使用之名詞定義如下：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需求變更（Change Request, 以下稱「CR」）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：指雙方完成「需求基準」確認後，由任一方提出之功能新增、修改、刪除、流程調整、整合範圍變動，或其他足以影響原訂規格、工時、時程或費用之事項。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需求基準（Baseline）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：指由雙方共同簽署之《系統模組需求確認單》及其附件所定義之功能規格、流程、欄位、報表、權限與角色設定。一經簽署，即構成本專案之開發依據。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設計凍結期（Design Freeze）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 UI／UX 設計稿經雙方簽核後之開發階段。於凍結期內提出之任何流程性、結構性變更，皆視為 CR 處理。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CR 點數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：開發團隊依 CR 之規模、複雜度與影響範圍核給之點數，作為計價之基礎，詳見第五條。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工作日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：指中華民國政府公告之上班日，不含週末及國定假日。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六、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CR Log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：指雙方共同維護之 CR 集中登錄表，記錄所有 CR 之提出、評估、簽核、實作與結案紀錄。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二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CR 認定標準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為避免雙方對「變更」與「調整」認定不一致，本條明列下列認定基準：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下列事項屬「需求變更（CR）」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，須依本附錄第四條流程辦理：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已簽核之功能流程或步驟順序之變動。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新增需求基準中未載明之欄位、頁面、報表或角色。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已開發完成之 API 結構、資料庫 Schema 或欄位異動。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權限矩陣或角色定義之新增、合併、拆分。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整合需求基準中未列載之第三方系統或外部服務。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影響其他模組之連動邏輯變動。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UI／UX 設計簽核後之版型調整或主要互動方式變更。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下列事項不屬於 CR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，由開發團隊於合理範圍內免費調整：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文案、標籤、提示訊息之錯字或語意修正。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顏色、字體大小、間距等視覺微調，且不改變版型結構。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系統 Bug 修復（即實際運作與需求基準不符之情形）。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同元件內之細部互動優化，例如 hover 樣式、loading 提示。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於既有設定介面內可調整之參數變更。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若雙方對某項變動是否屬於 CR 認定有歧異，應由乙方 PM 出具書面評估意見，並由雙方於每週同步會議協商確認。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三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設計凍結期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本專案之 UI／UX 設計稿經甲方書面或電子郵件確認後，即進入「設計凍結期」。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設計凍結期內，甲方提出之任何流程性、結構性或欄位性變更，一律視為 CR 處理，不適用免費調整額度。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設計凍結期之目的，在於確保開發團隊能基於穩定之設計依據進行實作，避免反覆重工所造成之品質與時程風險。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四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CR 提出與處理流程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CR 之處理應依下列六步驟進行，各步驟之負責方與時限規範如下表：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800"/>
        <w:gridCol w:w="2200"/>
        <w:gridCol w:w="2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負責方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回應時限（工作日）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提出 CR 申請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甲方（客戶）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影響評估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乙方（開發團隊）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收件後 3 個工作日內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報價回覆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 PM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評估完成後 1 個工作日內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客戶簽核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甲方決策者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收到報價後 5 個工作日內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排程實作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併入次一 Sprint</w:t>
            </w:r>
          </w:p>
        </w:tc>
      </w:tr>
      <w:tr>
        <w:tc>
          <w:tcPr>
            <w:tcW w:type="dxa" w:w="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驗收結案</w:t>
            </w:r>
          </w:p>
        </w:tc>
        <w:tc>
          <w:tcPr>
            <w:tcW w:type="dxa" w:w="2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</w:t>
            </w:r>
          </w:p>
        </w:tc>
        <w:tc>
          <w:tcPr>
            <w:tcW w:type="dxa" w:w="3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交付後 3 個工作日內</w:t>
            </w:r>
          </w:p>
        </w:tc>
      </w:tr>
    </w:tbl>
    <w:p>
      <w:pPr>
        <w:spacing w:before="160" w:after="80" w:line="34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前述各步驟之表單格式以雙方簽署之《CR 需求變更申請單》為準。CR 編號採流水序號制（CR-{年度}-{流水號}），即使 CR 經撤回或駁回，編號亦不重複使用。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五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CR 點數與計價方式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CR 之計價以「點數制」為基礎，依規模、複雜度與影響範圍區分為下列四級：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400"/>
        <w:gridCol w:w="1400"/>
        <w:gridCol w:w="18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規模</w:t>
            </w:r>
          </w:p>
        </w:tc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點數</w:t>
            </w:r>
          </w:p>
        </w:tc>
        <w:tc>
          <w:tcPr>
            <w:tcW w:type="dxa" w:w="1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預估工時</w:t>
            </w:r>
          </w:p>
        </w:tc>
        <w:tc>
          <w:tcPr>
            <w:tcW w:type="dxa" w:w="4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小型</w:t>
            </w:r>
          </w:p>
        </w:tc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1 點</w:t>
            </w:r>
          </w:p>
        </w:tc>
        <w:tc>
          <w:tcPr>
            <w:tcW w:type="dxa" w:w="1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1 ~ 4 小時</w:t>
            </w:r>
          </w:p>
        </w:tc>
        <w:tc>
          <w:tcPr>
            <w:tcW w:type="dxa" w:w="4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單一畫面文案／欄位調整、不影響其他模組之獨立改動</w:t>
            </w:r>
          </w:p>
        </w:tc>
      </w:tr>
      <w:tr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中型</w:t>
            </w:r>
          </w:p>
        </w:tc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3 點</w:t>
            </w:r>
          </w:p>
        </w:tc>
        <w:tc>
          <w:tcPr>
            <w:tcW w:type="dxa" w:w="1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4 ~ 16 小時</w:t>
            </w:r>
          </w:p>
        </w:tc>
        <w:tc>
          <w:tcPr>
            <w:tcW w:type="dxa" w:w="4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單一模組內流程調整，需修改 1～2 支 API 或 UI 重排</w:t>
            </w:r>
          </w:p>
        </w:tc>
      </w:tr>
      <w:tr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大型</w:t>
            </w:r>
          </w:p>
        </w:tc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8 點</w:t>
            </w:r>
          </w:p>
        </w:tc>
        <w:tc>
          <w:tcPr>
            <w:tcW w:type="dxa" w:w="1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16 ~ 40 小時</w:t>
            </w:r>
          </w:p>
        </w:tc>
        <w:tc>
          <w:tcPr>
            <w:tcW w:type="dxa" w:w="4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跨模組變更，影響 DB Schema 或需重做部分既有功能</w:t>
            </w:r>
          </w:p>
        </w:tc>
      </w:tr>
      <w:tr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B85C00"/>
                <w:sz w:val="20"/>
                <w:szCs w:val="20"/>
              </w:rPr>
              <w:t xml:space="preserve">另議</w:t>
            </w:r>
          </w:p>
        </w:tc>
        <w:tc>
          <w:tcPr>
            <w:tcW w:type="dxa" w:w="1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40 小時以上</w:t>
            </w:r>
          </w:p>
        </w:tc>
        <w:tc>
          <w:tcPr>
            <w:tcW w:type="dxa" w:w="4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架構級重構或新增子系統，須另行估價並簽訂補充合約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每點 CR 之單價為新台幣 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___________ 元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（由雙方於本附錄簽署時填入），計價公式為：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單價 × 點數 = CR 費用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超大型 CR（40 工時以上）須由雙方另行簽訂補充合約，不適用點數制計價。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CR 費用之付款條件：經甲方簽核同意後，併入次一期專案款項一併請款；或依雙方另行約定之付款方式辦理。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CR 之點數核定由乙方負責，若甲方對點數認定有疑義，得於收到報價後 2 個工作日內提出書面異議，由雙方協商調整。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六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免費調整額度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為維持雙方合作之彈性，乙方於每個 Sprint 內預留 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4 小時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（或雙方另行約定之時數）作為「免費調整額度」，供甲方使用於非 CR 範疇之微調事項。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免費調整額度不得累積遞延至次一 Sprint，亦不得用於 CR 範疇內之事項。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若甲方於單一 Sprint 內之調整需求超過免費額度，超出部分得依雙方協議轉為 CR 處理或併入次一 Sprint 之免費額度。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七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時程影響條款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CR 經簽核後，乙方得依評估之工時調整原訂交付日期，並於 CR 報價單中明列「原交付日」與「調整後交付日」。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甲方同意：因 CR 所衍生之時程順延，不構成乙方違約事由，亦不適用主合約中關於遲延交付之罰則。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 CR 涉及凍結期內之變更，原排程之既有功能可能順延，乙方應於報價時主動告知影響範圍。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八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客戶逾期未回覆之處理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乙方完成 CR 報價後，甲方應於 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5 個工作日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 內完成簽核或表達意見。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若甲方逾期未回覆，該筆 CR 視為「自動撤回」，乙方得逕行於 CR Log 中註記為「已撤回」，並依原需求基準繼續開發。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已撤回之 CR 若甲方後續仍欲執行，須重新提出新 CR 申請，原評估結果不予沿用。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九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駁回機制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於下列情況下，乙方得駁回甲方所提之 CR，並於 CR Log 中註記原因：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所提 CR 違反技術可行性，或將對系統穩定性、安全性造成重大風險者。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所提 CR 與原需求基準存在根本性衝突，無法併存實作者。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所提 CR 超出本專案範圍且非屬補充合約所及之事項。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駁回後，雙方應於下次同步會議中協商替代方案，或另訂補充合約處理之。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每週同步會議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雙方應每週固定舉行同步會議（Weekly Sync），時間建議為 30 分鐘。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會議中應檢視所有 pending 狀態之 CR，並要求甲方決策者於會中當場決策，避免 CR 堆積。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會議紀錄由乙方 PM 於會後 1 個工作日內整理發送，內容包括：上週進度、本週交付項目、CR 狀態彙整。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十一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爭議處理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雙方因本附錄之解釋或履行所生之爭議，應本誠信原則先行協商解決。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若協商不成，得提報雙方主管階層調處；仍未能解決者，依主合約之爭議處理條款辦理。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本附錄與主合約條款若有衝突，以本附錄為準。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十二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附則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本附錄自雙方簽署之日起生效，並與主合約具同等法律效力。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本附錄之修訂應以書面為之，並由雙方簽署同意後生效。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本附錄一式二份，雙方各執一份為憑。</w:t>
      </w:r>
    </w:p>
    <w:p>
      <w:pPr>
        <w:pBdr>
          <w:top w:val="double" w:color="4A6359" w:sz="12"/>
        </w:pBdr>
        <w:spacing w:before="600" w:after="120"/>
        <w:jc w:val="center"/>
      </w:pPr>
      <w:r>
        <w:t xml:space="preserve"/>
      </w:r>
    </w:p>
    <w:p>
      <w:pPr>
        <w:spacing w:before="240"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6"/>
          <w:szCs w:val="26"/>
        </w:rPr>
        <w:t xml:space="preserve">雙　方　簽　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200"/>
          <w:bottom w:type="dxa" w:w="200"/>
          <w:right w:type="dxa" w:w="2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甲方（委託方）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乙方（受託方）</w:t>
            </w:r>
          </w:p>
        </w:tc>
      </w:tr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</w:tr>
    </w:tbl>
    <w:p>
      <w:pPr>
        <w:spacing w:before="360" w:after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— 本附錄共 12 條，全文終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軟體開發合約附錄 — 需求變更管理（CR）條款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2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軟體開發合約附錄 — 需求變更管理（CR）條款</dc:title>
  <dc:creator>Bombus 開發團隊</dc:creator>
  <cp:lastModifiedBy>Un-named</cp:lastModifiedBy>
  <cp:revision>1</cp:revision>
  <dcterms:created xsi:type="dcterms:W3CDTF">2026-04-07T06:08:29.805Z</dcterms:created>
  <dcterms:modified xsi:type="dcterms:W3CDTF">2026-04-07T06:08:29.807Z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