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898177">
      <w:pPr>
        <w:snapToGrid w:val="0"/>
        <w:jc w:val="center"/>
        <w:rPr>
          <w:rFonts w:hint="eastAsia" w:ascii="微軟正黑體" w:hAnsi="微軟正黑體" w:eastAsia="微軟正黑體"/>
          <w:b/>
          <w:bCs/>
          <w:sz w:val="32"/>
          <w:szCs w:val="28"/>
          <w:lang w:val="en-US" w:eastAsia="zh-TW"/>
        </w:rPr>
      </w:pPr>
      <w:r>
        <w:rPr>
          <w:rFonts w:hint="eastAsia" w:ascii="微軟正黑體" w:hAnsi="微軟正黑體" w:eastAsia="微軟正黑體"/>
          <w:b/>
          <w:bCs/>
          <w:sz w:val="32"/>
          <w:szCs w:val="28"/>
        </w:rPr>
        <w:t>Snecefore</w:t>
      </w:r>
      <w:r>
        <w:rPr>
          <w:rFonts w:hint="eastAsia" w:ascii="微軟正黑體" w:hAnsi="微軟正黑體" w:eastAsia="微軟正黑體"/>
          <w:b/>
          <w:bCs/>
          <w:sz w:val="32"/>
          <w:szCs w:val="28"/>
          <w:lang w:val="en-US" w:eastAsia="zh-TW"/>
        </w:rPr>
        <w:t xml:space="preserve"> 系統修訂說明</w:t>
      </w:r>
    </w:p>
    <w:p w14:paraId="692D5F6D">
      <w:pPr>
        <w:pStyle w:val="32"/>
        <w:numPr>
          <w:ilvl w:val="1"/>
          <w:numId w:val="1"/>
        </w:numPr>
        <w:snapToGrid w:val="0"/>
        <w:rPr>
          <w:rFonts w:ascii="微軟正黑體" w:hAnsi="微軟正黑體" w:eastAsia="微軟正黑體"/>
          <w:b/>
          <w:bCs/>
          <w:szCs w:val="24"/>
        </w:rPr>
      </w:pPr>
      <w:r>
        <w:rPr>
          <w:rFonts w:ascii="微軟正黑體" w:hAnsi="微軟正黑體" w:eastAsia="微軟正黑體"/>
          <w:b/>
          <w:bCs/>
          <w:sz w:val="28"/>
          <w:szCs w:val="24"/>
        </w:rPr>
        <w:t>L1 - 員工管理模組</w:t>
      </w:r>
      <w:r>
        <w:rPr>
          <w:rFonts w:ascii="微軟正黑體" w:hAnsi="微軟正黑體" w:eastAsia="微軟正黑體"/>
          <w:b/>
          <w:bCs/>
          <w:sz w:val="28"/>
          <w:szCs w:val="24"/>
        </w:rPr>
        <w:br w:type="textWrapping"/>
      </w:r>
      <w:r>
        <w:rPr>
          <w:rFonts w:ascii="微軟正黑體" w:hAnsi="微軟正黑體" w:eastAsia="微軟正黑體"/>
        </w:rPr>
        <w:t>L1 管理從招募、到職、在職紀錄、接觸再行銷到晉升規劃的整體員工週期，支援 AI 驅動的人才評估與媒合。</w:t>
      </w:r>
    </w:p>
    <w:p w14:paraId="723936B1">
      <w:pPr>
        <w:pStyle w:val="32"/>
        <w:numPr>
          <w:ilvl w:val="2"/>
          <w:numId w:val="1"/>
        </w:numPr>
        <w:snapToGrid w:val="0"/>
        <w:rPr>
          <w:rFonts w:ascii="微軟正黑體" w:hAnsi="微軟正黑體" w:eastAsia="微軟正黑體"/>
          <w:szCs w:val="24"/>
          <w:highlight w:val="none"/>
        </w:rPr>
      </w:pPr>
      <w:r>
        <w:rPr>
          <w:rFonts w:hint="eastAsia" w:ascii="微軟正黑體" w:hAnsi="微軟正黑體" w:eastAsia="微軟正黑體"/>
          <w:szCs w:val="24"/>
          <w:highlight w:val="none"/>
        </w:rPr>
        <w:t>現況問題匯總</w:t>
      </w:r>
    </w:p>
    <w:p w14:paraId="17F40B08">
      <w:pPr>
        <w:pStyle w:val="32"/>
        <w:numPr>
          <w:ilvl w:val="3"/>
          <w:numId w:val="1"/>
        </w:numPr>
        <w:snapToGrid w:val="0"/>
        <w:rPr>
          <w:rFonts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L1：招募職缺管理</w:t>
      </w:r>
    </w:p>
    <w:p w14:paraId="2F055CF2">
      <w:pPr>
        <w:pStyle w:val="32"/>
        <w:numPr>
          <w:ilvl w:val="4"/>
          <w:numId w:val="1"/>
        </w:numPr>
        <w:snapToGrid w:val="0"/>
        <w:rPr>
          <w:rFonts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首頁標示請記得改正，候選人列表需直觀（這是一般打開此功能最常用的之一）</w:t>
      </w:r>
    </w:p>
    <w:p w14:paraId="60F8E738">
      <w:pPr>
        <w:pStyle w:val="32"/>
        <w:snapToGrid w:val="0"/>
        <w:ind w:left="2400"/>
        <w:rPr>
          <w:rFonts w:hint="eastAsia" w:ascii="微軟正黑體" w:hAnsi="微軟正黑體" w:eastAsia="微軟正黑體"/>
          <w:szCs w:val="24"/>
        </w:rPr>
      </w:pPr>
      <w:r>
        <w:rPr>
          <w:rFonts w:ascii="微軟正黑體" w:hAnsi="微軟正黑體" w:eastAsia="微軟正黑體"/>
          <w:szCs w:val="24"/>
        </w:rPr>
        <w:drawing>
          <wp:inline distT="0" distB="0" distL="0" distR="0">
            <wp:extent cx="5400675" cy="2463800"/>
            <wp:effectExtent l="0" t="0" r="9525" b="12700"/>
            <wp:docPr id="672186076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86076" name="圖片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7146" cy="2466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7E696">
      <w:pPr>
        <w:pStyle w:val="32"/>
        <w:numPr>
          <w:ilvl w:val="4"/>
          <w:numId w:val="1"/>
        </w:numPr>
        <w:snapToGrid w:val="0"/>
        <w:rPr>
          <w:rFonts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資料顯示與整併的問題：不同來源的資料，應用標籤識別，而不是選單上的區別，自動同步時，可以指定同步的履歷來源，但顯示最好一併整合後呈現。現有來源的呈現很足夠，不用再分沙盒或內部職缺</w:t>
      </w:r>
    </w:p>
    <w:p w14:paraId="2F35B035">
      <w:pPr>
        <w:pStyle w:val="32"/>
        <w:snapToGrid w:val="0"/>
        <w:ind w:left="1920"/>
      </w:pPr>
      <w:r>
        <w:drawing>
          <wp:inline distT="0" distB="0" distL="114300" distR="114300">
            <wp:extent cx="3528060" cy="480060"/>
            <wp:effectExtent l="0" t="0" r="7620" b="762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59F12">
      <w:pPr>
        <w:pStyle w:val="32"/>
        <w:snapToGrid w:val="0"/>
        <w:ind w:left="1920"/>
      </w:pPr>
      <w:r>
        <w:drawing>
          <wp:inline distT="0" distB="0" distL="114300" distR="114300">
            <wp:extent cx="5271770" cy="751840"/>
            <wp:effectExtent l="0" t="0" r="1270" b="10160"/>
            <wp:docPr id="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449C3">
      <w:pPr>
        <w:pStyle w:val="32"/>
        <w:numPr>
          <w:ilvl w:val="4"/>
          <w:numId w:val="1"/>
        </w:numPr>
        <w:snapToGrid w:val="0"/>
        <w:rPr>
          <w:rFonts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不同的資料來源，會有各自的排程設定，所以隨著在L0開啟資料來源時，該公司能抓到的選單，或同步的選項也不同。這邊要先設計有彈性一點，否則加入104以外的來源時，還要不停修改</w:t>
      </w:r>
    </w:p>
    <w:p w14:paraId="44AE779C">
      <w:pPr>
        <w:pStyle w:val="32"/>
        <w:snapToGrid w:val="0"/>
        <w:ind w:left="1920"/>
        <w:rPr>
          <w:rFonts w:ascii="微軟正黑體" w:hAnsi="微軟正黑體" w:eastAsia="微軟正黑體"/>
          <w:szCs w:val="24"/>
        </w:rPr>
      </w:pPr>
      <w:r>
        <w:drawing>
          <wp:inline distT="0" distB="0" distL="114300" distR="114300">
            <wp:extent cx="4549140" cy="4084320"/>
            <wp:effectExtent l="0" t="0" r="762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F773B">
      <w:pPr>
        <w:pStyle w:val="32"/>
        <w:numPr>
          <w:ilvl w:val="4"/>
          <w:numId w:val="1"/>
        </w:numPr>
        <w:snapToGrid w:val="0"/>
        <w:rPr>
          <w:rFonts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審核發佈後仍可以編輯，那要審核的用意是？這邊的流程很混亂，應整理所有的流程情境給我們，例如：在刊登中可以新增候選人，那新增候選人會同步到人才庫嗎？若新增候選人後，再刪除刊登，此時，104的刊登會同步關閉嗎？新增候選人的資料會不會一併刪除等等，以及新增候選人算內推嗎？這些細節跟流程，應提供足夠的說明</w:t>
      </w:r>
    </w:p>
    <w:p w14:paraId="5BFE1149">
      <w:pPr>
        <w:pStyle w:val="32"/>
        <w:snapToGrid w:val="0"/>
        <w:ind w:left="0"/>
        <w:jc w:val="both"/>
        <w:rPr>
          <w:rFonts w:ascii="微軟正黑體" w:hAnsi="微軟正黑體" w:eastAsia="微軟正黑體"/>
          <w:szCs w:val="24"/>
        </w:rPr>
      </w:pPr>
      <w:r>
        <w:drawing>
          <wp:inline distT="0" distB="0" distL="114300" distR="114300">
            <wp:extent cx="6637020" cy="400685"/>
            <wp:effectExtent l="0" t="0" r="7620" b="10795"/>
            <wp:docPr id="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A0B4A">
      <w:pPr>
        <w:pStyle w:val="32"/>
        <w:numPr>
          <w:ilvl w:val="4"/>
          <w:numId w:val="1"/>
        </w:numPr>
        <w:snapToGrid w:val="0"/>
        <w:rPr>
          <w:rFonts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發送面試邀約時，同步確認面試官，並且在發出前能得知該面試官的行程是否有空，由於不同公司的系統不一致，可以考慮使用設定員工的ICS來進行串接，可行性較高。公司沒有自己的信箱時，系統要考慮，如何避免時段重覆</w:t>
      </w:r>
    </w:p>
    <w:p w14:paraId="79BFF3B1">
      <w:pPr>
        <w:snapToGrid w:val="0"/>
        <w:jc w:val="center"/>
      </w:pPr>
      <w:r>
        <w:drawing>
          <wp:inline distT="0" distB="0" distL="114300" distR="114300">
            <wp:extent cx="3863340" cy="5623560"/>
            <wp:effectExtent l="0" t="0" r="7620" b="0"/>
            <wp:docPr id="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5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4B706">
      <w:pPr>
        <w:pStyle w:val="32"/>
        <w:numPr>
          <w:ilvl w:val="4"/>
          <w:numId w:val="1"/>
        </w:numPr>
        <w:snapToGrid w:val="0"/>
        <w:rPr>
          <w:rFonts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發送聯結不應該嵌在面頁裡，應該是隨通知信時一併附在email裡，點選後，就依此聯結取消，以下為示意圖，包含內推的基本資料填寫、面試邀請、取消或更改面試等等，應該是嵌聯結在email裡，不需要在畫面中出現：</w:t>
      </w:r>
    </w:p>
    <w:p w14:paraId="6E1E4668">
      <w:pPr>
        <w:pStyle w:val="32"/>
        <w:snapToGrid w:val="0"/>
        <w:ind w:left="0"/>
        <w:jc w:val="center"/>
        <w:rPr>
          <w:rFonts w:ascii="微軟正黑體" w:hAnsi="微軟正黑體" w:eastAsia="微軟正黑體"/>
          <w:szCs w:val="24"/>
        </w:rPr>
      </w:pPr>
      <w:r>
        <w:drawing>
          <wp:inline distT="0" distB="0" distL="114300" distR="114300">
            <wp:extent cx="5271770" cy="3237230"/>
            <wp:effectExtent l="0" t="0" r="1270" b="8890"/>
            <wp:docPr id="10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FECD5">
      <w:pPr>
        <w:pStyle w:val="32"/>
        <w:numPr>
          <w:ilvl w:val="4"/>
          <w:numId w:val="1"/>
        </w:numPr>
        <w:snapToGrid w:val="0"/>
        <w:rPr>
          <w:rFonts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RITE測驗流程應考慮進來。回到老問題，流程面的操作沒有提供完整的說明，我們無法評估現在所有的情境是否都已經做完，今天如果客戶有購買RITE，跟沒有購買RITE測驗時，發出面試通知的細節是不一樣的。再者，如果客戶希望加購RITE時，流程如何自行判斷要連帶RITE測驗夾帶在email裡寄送給面試者，這些流程細節應整理出來</w:t>
      </w:r>
    </w:p>
    <w:p w14:paraId="53819B78">
      <w:pPr>
        <w:pStyle w:val="32"/>
        <w:numPr>
          <w:ilvl w:val="4"/>
          <w:numId w:val="1"/>
        </w:numPr>
        <w:snapToGrid w:val="0"/>
        <w:rPr>
          <w:rFonts w:hint="eastAsia"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人力需求表 (New)：  新增「人力需求申請」流程。</w:t>
      </w:r>
    </w:p>
    <w:p w14:paraId="2E362B7A">
      <w:pPr>
        <w:pStyle w:val="32"/>
        <w:numPr>
          <w:ilvl w:val="5"/>
          <w:numId w:val="1"/>
        </w:numPr>
        <w:snapToGrid w:val="0"/>
        <w:rPr>
          <w:rFonts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區分「新增職位」與「既有職位補人」。新增職位必須先完成 JD 撰寫與審核。</w:t>
      </w:r>
    </w:p>
    <w:p w14:paraId="3FA2AAF3">
      <w:pPr>
        <w:pStyle w:val="32"/>
        <w:snapToGrid w:val="0"/>
        <w:ind w:left="2880"/>
        <w:rPr>
          <w:rFonts w:hint="eastAsia" w:ascii="微軟正黑體" w:hAnsi="微軟正黑體" w:eastAsia="微軟正黑體"/>
          <w:szCs w:val="24"/>
        </w:rPr>
      </w:pPr>
      <w:r>
        <w:rPr>
          <w:rFonts w:ascii="微軟正黑體" w:hAnsi="微軟正黑體" w:eastAsia="微軟正黑體"/>
          <w:szCs w:val="24"/>
        </w:rPr>
        <w:drawing>
          <wp:inline distT="0" distB="0" distL="0" distR="0">
            <wp:extent cx="6547485" cy="3105150"/>
            <wp:effectExtent l="0" t="0" r="5715" b="0"/>
            <wp:docPr id="111433962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3962" name="圖片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48555" cy="3105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C756D">
      <w:pPr>
        <w:pStyle w:val="32"/>
        <w:numPr>
          <w:ilvl w:val="4"/>
          <w:numId w:val="1"/>
        </w:numPr>
        <w:snapToGrid w:val="0"/>
        <w:rPr>
          <w:rFonts w:hint="eastAsia"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JD 流程優化： 採「功能脫鉤、邏輯掛鉤」。</w:t>
      </w:r>
    </w:p>
    <w:p w14:paraId="6BF19529">
      <w:pPr>
        <w:pStyle w:val="32"/>
        <w:numPr>
          <w:ilvl w:val="5"/>
          <w:numId w:val="1"/>
        </w:numPr>
        <w:snapToGrid w:val="0"/>
        <w:rPr>
          <w:rFonts w:hint="eastAsia"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流程定義：提出需求 → 撰寫（主管草擬/HR潤飾） → 審核確認 → 發佈。</w:t>
      </w:r>
    </w:p>
    <w:p w14:paraId="2DF4396F">
      <w:pPr>
        <w:pStyle w:val="32"/>
        <w:numPr>
          <w:ilvl w:val="5"/>
          <w:numId w:val="1"/>
        </w:numPr>
        <w:snapToGrid w:val="0"/>
        <w:rPr>
          <w:rFonts w:hint="eastAsia"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支援 PDF/CSV 匯入現有 JD，並規劃 AI 輔助識別與欄位填充。</w:t>
      </w:r>
    </w:p>
    <w:p w14:paraId="0D4C34C3">
      <w:pPr>
        <w:pStyle w:val="32"/>
        <w:numPr>
          <w:ilvl w:val="4"/>
          <w:numId w:val="1"/>
        </w:numPr>
        <w:snapToGrid w:val="0"/>
        <w:rPr>
          <w:rFonts w:hint="eastAsia"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權限設定： 用人主管僅能填寫 JD 草稿與查看，最終發佈與編輯權限歸 HR。</w:t>
      </w:r>
    </w:p>
    <w:p w14:paraId="574AFC3B">
      <w:pPr>
        <w:pStyle w:val="32"/>
        <w:numPr>
          <w:ilvl w:val="4"/>
          <w:numId w:val="1"/>
        </w:numPr>
        <w:snapToGrid w:val="0"/>
        <w:rPr>
          <w:rFonts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提出人力需求時，必須關聯一份已審核通過的 JD。若為新職位，則需先完成 JD 的新增與審核流程，再發起人力需求</w:t>
      </w:r>
    </w:p>
    <w:p w14:paraId="5EEB2139">
      <w:pPr>
        <w:pStyle w:val="32"/>
        <w:numPr>
          <w:ilvl w:val="4"/>
          <w:numId w:val="1"/>
        </w:numPr>
        <w:snapToGrid w:val="0"/>
        <w:rPr>
          <w:rFonts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考慮引入『人才發展委員會 (人評會)』的多人會簽功能，以支援在晉升、調薪等關鍵決策上的集體評議，避免單一主管的主觀判斷</w:t>
      </w:r>
    </w:p>
    <w:p w14:paraId="38AD7455">
      <w:pPr>
        <w:pStyle w:val="32"/>
        <w:numPr>
          <w:ilvl w:val="3"/>
          <w:numId w:val="1"/>
        </w:numPr>
        <w:snapToGrid w:val="0"/>
        <w:rPr>
          <w:rFonts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L1：AI智能面試</w:t>
      </w:r>
    </w:p>
    <w:p w14:paraId="7154A942">
      <w:pPr>
        <w:pStyle w:val="32"/>
        <w:numPr>
          <w:ilvl w:val="4"/>
          <w:numId w:val="1"/>
        </w:numPr>
        <w:snapToGrid w:val="0"/>
        <w:rPr>
          <w:rFonts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面試官的角色：跟用人策決的角色不同，他們進入該功能看到的內容也有所不同，面試官著重的是面試的流程，所以他們要進入該功能時便得知當天需要的面試人選</w:t>
      </w:r>
    </w:p>
    <w:p w14:paraId="3048381F">
      <w:pPr>
        <w:pStyle w:val="32"/>
        <w:numPr>
          <w:ilvl w:val="4"/>
          <w:numId w:val="1"/>
        </w:numPr>
        <w:snapToGrid w:val="0"/>
        <w:rPr>
          <w:rFonts w:hint="eastAsia"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JD 流程優化： 採「功能脫鉤、邏輯掛鉤」。</w:t>
      </w:r>
    </w:p>
    <w:p w14:paraId="5D9DD0CE">
      <w:pPr>
        <w:pStyle w:val="32"/>
        <w:numPr>
          <w:ilvl w:val="5"/>
          <w:numId w:val="1"/>
        </w:numPr>
        <w:snapToGrid w:val="0"/>
        <w:rPr>
          <w:rFonts w:hint="eastAsia"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流程定義：提出需求 → 撰寫（主管草擬/HR潤飾） → 審核確認 → 發佈。</w:t>
      </w:r>
    </w:p>
    <w:p w14:paraId="0A605CFC">
      <w:pPr>
        <w:pStyle w:val="32"/>
        <w:numPr>
          <w:ilvl w:val="5"/>
          <w:numId w:val="1"/>
        </w:numPr>
        <w:snapToGrid w:val="0"/>
        <w:rPr>
          <w:rFonts w:hint="eastAsia"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支援 PDF/CSV 匯入現有 JD，並規劃 AI 輔助識別與欄位填充。</w:t>
      </w:r>
    </w:p>
    <w:p w14:paraId="2DDBE379">
      <w:pPr>
        <w:pStyle w:val="32"/>
        <w:numPr>
          <w:ilvl w:val="4"/>
          <w:numId w:val="1"/>
        </w:numPr>
        <w:snapToGrid w:val="0"/>
        <w:rPr>
          <w:rFonts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權限設定： 用人主管僅能填寫 JD 草稿與查看，最終發佈與編輯權限歸 HR。</w:t>
      </w:r>
    </w:p>
    <w:p w14:paraId="0798B059">
      <w:pPr>
        <w:pStyle w:val="32"/>
        <w:numPr>
          <w:ilvl w:val="4"/>
          <w:numId w:val="1"/>
        </w:numPr>
        <w:snapToGrid w:val="0"/>
        <w:rPr>
          <w:rFonts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D. 即時錄音功能（優先級最高）：支援面試過程中的即時錄音，自動保存至系統，無需事後上傳。並支援上傳/同步面試錄音/錄影</w:t>
      </w:r>
    </w:p>
    <w:p w14:paraId="3539B164">
      <w:pPr>
        <w:snapToGrid w:val="0"/>
        <w:rPr>
          <w:rFonts w:hint="eastAsia" w:ascii="微軟正黑體" w:hAnsi="微軟正黑體" w:eastAsia="微軟正黑體"/>
          <w:szCs w:val="24"/>
        </w:rPr>
      </w:pPr>
      <w:r>
        <w:rPr>
          <w:rFonts w:ascii="微軟正黑體" w:hAnsi="微軟正黑體" w:eastAsia="微軟正黑體"/>
          <w:szCs w:val="24"/>
        </w:rPr>
        <w:drawing>
          <wp:inline distT="0" distB="0" distL="0" distR="0">
            <wp:extent cx="6638925" cy="3686175"/>
            <wp:effectExtent l="0" t="0" r="9525" b="9525"/>
            <wp:docPr id="964477518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77518" name="圖片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676C3">
      <w:pPr>
        <w:pStyle w:val="32"/>
        <w:numPr>
          <w:ilvl w:val="4"/>
          <w:numId w:val="1"/>
        </w:numPr>
        <w:snapToGrid w:val="0"/>
        <w:rPr>
          <w:rFonts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候選人照片顯示：在履歷列表與詳情頁面預設顯示候選人照片，作為初步篩選參考</w:t>
      </w:r>
    </w:p>
    <w:p w14:paraId="303770A1">
      <w:pPr>
        <w:pStyle w:val="32"/>
        <w:numPr>
          <w:ilvl w:val="4"/>
          <w:numId w:val="1"/>
        </w:numPr>
        <w:snapToGrid w:val="0"/>
        <w:rPr>
          <w:rFonts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候選人聯繫記錄：在履歷詳情頁面增加聯繫記錄功能，記錄與候選人的溝通歷史（如電話未接、已發邀約），方便團隊協作追蹤</w:t>
      </w:r>
    </w:p>
    <w:p w14:paraId="0E771C2B">
      <w:pPr>
        <w:pStyle w:val="32"/>
        <w:numPr>
          <w:ilvl w:val="4"/>
          <w:numId w:val="1"/>
        </w:numPr>
        <w:snapToGrid w:val="0"/>
        <w:rPr>
          <w:rFonts w:hint="eastAsia"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面試邀約模板：支援新增、保存及復用面試邀約模板，模板應包含時間、地點、須知等關鍵信息，參考 104 平台功能</w:t>
      </w:r>
    </w:p>
    <w:p w14:paraId="09714E44">
      <w:pPr>
        <w:pStyle w:val="32"/>
        <w:numPr>
          <w:ilvl w:val="3"/>
          <w:numId w:val="1"/>
        </w:numPr>
        <w:snapToGrid w:val="0"/>
        <w:rPr>
          <w:rFonts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員工檔案與歷程管理</w:t>
      </w:r>
    </w:p>
    <w:p w14:paraId="1301F2B0">
      <w:pPr>
        <w:pStyle w:val="32"/>
        <w:numPr>
          <w:ilvl w:val="4"/>
          <w:numId w:val="1"/>
        </w:numPr>
        <w:snapToGrid w:val="0"/>
        <w:rPr>
          <w:rFonts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 xml:space="preserve">員工檔案強化： </w:t>
      </w:r>
    </w:p>
    <w:p w14:paraId="2949B125">
      <w:pPr>
        <w:snapToGrid w:val="0"/>
        <w:ind w:left="1920"/>
        <w:rPr>
          <w:rFonts w:hint="eastAsia" w:ascii="微軟正黑體" w:hAnsi="微軟正黑體" w:eastAsia="微軟正黑體"/>
          <w:szCs w:val="24"/>
        </w:rPr>
      </w:pPr>
      <w:r>
        <w:rPr>
          <w:rFonts w:ascii="微軟正黑體" w:hAnsi="微軟正黑體" w:eastAsia="微軟正黑體"/>
          <w:szCs w:val="24"/>
        </w:rPr>
        <w:drawing>
          <wp:inline distT="0" distB="0" distL="0" distR="0">
            <wp:extent cx="6648450" cy="5124450"/>
            <wp:effectExtent l="0" t="0" r="0" b="0"/>
            <wp:docPr id="1329904879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04879" name="圖片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8097A">
      <w:pPr>
        <w:pStyle w:val="32"/>
        <w:numPr>
          <w:ilvl w:val="5"/>
          <w:numId w:val="1"/>
        </w:numPr>
        <w:snapToGrid w:val="0"/>
        <w:rPr>
          <w:rFonts w:hint="eastAsia"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顯示「任職年限」（精確至幾年幾個月）。</w:t>
      </w:r>
    </w:p>
    <w:p w14:paraId="3120685C">
      <w:pPr>
        <w:pStyle w:val="32"/>
        <w:numPr>
          <w:ilvl w:val="5"/>
          <w:numId w:val="1"/>
        </w:numPr>
        <w:snapToGrid w:val="0"/>
        <w:rPr>
          <w:rFonts w:hint="eastAsia"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自動記錄「職務異動歷程」（例如 L1 升 L2、跨部門調動）。</w:t>
      </w:r>
    </w:p>
    <w:p w14:paraId="43505F7F">
      <w:pPr>
        <w:pStyle w:val="32"/>
        <w:numPr>
          <w:ilvl w:val="5"/>
          <w:numId w:val="1"/>
        </w:numPr>
        <w:snapToGrid w:val="0"/>
        <w:rPr>
          <w:rFonts w:hint="eastAsia"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頭像支援個人上傳或從 104 系統同步。</w:t>
      </w:r>
    </w:p>
    <w:p w14:paraId="6C743B5D">
      <w:pPr>
        <w:pStyle w:val="32"/>
        <w:numPr>
          <w:ilvl w:val="4"/>
          <w:numId w:val="1"/>
        </w:numPr>
        <w:snapToGrid w:val="0"/>
        <w:rPr>
          <w:rFonts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入職管理：</w:t>
      </w:r>
    </w:p>
    <w:p w14:paraId="46E9CFE0">
      <w:pPr>
        <w:pStyle w:val="32"/>
        <w:numPr>
          <w:ilvl w:val="5"/>
          <w:numId w:val="1"/>
        </w:numPr>
        <w:snapToGrid w:val="0"/>
        <w:rPr>
          <w:rFonts w:hint="eastAsia"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區分「待入職」與「入職中」狀態。</w:t>
      </w:r>
    </w:p>
    <w:p w14:paraId="12D89560">
      <w:pPr>
        <w:pStyle w:val="32"/>
        <w:numPr>
          <w:ilvl w:val="5"/>
          <w:numId w:val="1"/>
        </w:numPr>
        <w:snapToGrid w:val="0"/>
        <w:rPr>
          <w:rFonts w:hint="eastAsia"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開發「入職文件清單檢核」，區分公司提供（合約、保密協議）與個人提供（身分證、證照）。</w:t>
      </w:r>
    </w:p>
    <w:p w14:paraId="6795FF3C">
      <w:pPr>
        <w:pStyle w:val="32"/>
        <w:numPr>
          <w:ilvl w:val="5"/>
          <w:numId w:val="1"/>
        </w:numPr>
        <w:snapToGrid w:val="0"/>
        <w:rPr>
          <w:rFonts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法律合規： 涉及調薪或職務變更時，系統需強制提示或生成「勞動契約重簽」流程。</w:t>
      </w:r>
    </w:p>
    <w:p w14:paraId="57EE34A6">
      <w:pPr>
        <w:pStyle w:val="32"/>
        <w:numPr>
          <w:ilvl w:val="3"/>
          <w:numId w:val="1"/>
        </w:numPr>
        <w:snapToGrid w:val="0"/>
        <w:rPr>
          <w:rFonts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L1：會議管理</w:t>
      </w:r>
    </w:p>
    <w:p w14:paraId="68669EE4">
      <w:pPr>
        <w:pStyle w:val="32"/>
        <w:numPr>
          <w:ilvl w:val="4"/>
          <w:numId w:val="1"/>
        </w:numPr>
        <w:snapToGrid w:val="0"/>
        <w:rPr>
          <w:rFonts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會議管理五階段流程並沒有實作</w:t>
      </w:r>
    </w:p>
    <w:p w14:paraId="43EA81D2">
      <w:pPr>
        <w:pStyle w:val="32"/>
        <w:snapToGrid w:val="0"/>
        <w:ind w:left="0"/>
        <w:jc w:val="center"/>
        <w:rPr>
          <w:rFonts w:ascii="微軟正黑體" w:hAnsi="微軟正黑體" w:eastAsia="微軟正黑體"/>
          <w:szCs w:val="24"/>
        </w:rPr>
      </w:pPr>
      <w:r>
        <w:drawing>
          <wp:inline distT="0" distB="0" distL="114300" distR="114300">
            <wp:extent cx="2667000" cy="6088380"/>
            <wp:effectExtent l="0" t="0" r="0" b="7620"/>
            <wp:docPr id="7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608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32BD6">
      <w:pPr>
        <w:pStyle w:val="32"/>
        <w:numPr>
          <w:ilvl w:val="4"/>
          <w:numId w:val="1"/>
        </w:numPr>
        <w:snapToGrid w:val="0"/>
        <w:rPr>
          <w:rFonts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用人策決的角色：此功能的版面應上方直接呈現面試官評分表的內容，方便用人主管或人資能快速取得面試者的表現。AI分析則是端看客戶是否有購買該功能才會出現，或是出現對應的分析功能按鈕。入取後，若發offer letter時，薪資保密的部份跟接受offer的功能頁面是不一樣的流程在處理。所以這邊的流程規劃不足以應付一般的情境</w:t>
      </w:r>
    </w:p>
    <w:p w14:paraId="41355C5A">
      <w:pPr>
        <w:pStyle w:val="32"/>
        <w:snapToGrid w:val="0"/>
        <w:ind w:left="0"/>
        <w:rPr>
          <w:rFonts w:ascii="微軟正黑體" w:hAnsi="微軟正黑體" w:eastAsia="微軟正黑體"/>
          <w:szCs w:val="24"/>
        </w:rPr>
      </w:pPr>
      <w:r>
        <w:drawing>
          <wp:inline distT="0" distB="0" distL="114300" distR="114300">
            <wp:extent cx="6644005" cy="2244090"/>
            <wp:effectExtent l="0" t="0" r="635" b="11430"/>
            <wp:docPr id="9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4B798">
      <w:pPr>
        <w:pStyle w:val="32"/>
        <w:snapToGrid w:val="0"/>
        <w:ind w:left="0"/>
        <w:jc w:val="center"/>
      </w:pPr>
      <w:r>
        <w:drawing>
          <wp:inline distT="0" distB="0" distL="114300" distR="114300">
            <wp:extent cx="4213860" cy="5996940"/>
            <wp:effectExtent l="0" t="0" r="7620" b="7620"/>
            <wp:docPr id="17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圖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599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42653">
      <w:pPr>
        <w:pStyle w:val="32"/>
        <w:numPr>
          <w:ilvl w:val="4"/>
          <w:numId w:val="1"/>
        </w:numPr>
        <w:snapToGrid w:val="0"/>
        <w:rPr>
          <w:rFonts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Offer letter：應單獨寄送，包含薪資，以及報到日期、入職前的準備(相關文件以及注意事項)，這應該是依各公司的文化不同，而可以決定其相關文件的清單，但在功能上不僅沒有維護的地方，用人決策的流程上也完全不流暢</w:t>
      </w:r>
    </w:p>
    <w:p w14:paraId="325F0B68">
      <w:pPr>
        <w:pStyle w:val="32"/>
        <w:snapToGrid w:val="0"/>
        <w:ind w:left="0"/>
        <w:jc w:val="both"/>
      </w:pPr>
    </w:p>
    <w:p w14:paraId="034552AD">
      <w:pPr>
        <w:pStyle w:val="32"/>
        <w:snapToGrid w:val="0"/>
        <w:ind w:left="0"/>
        <w:rPr>
          <w:rFonts w:ascii="微軟正黑體" w:hAnsi="微軟正黑體" w:eastAsia="微軟正黑體"/>
          <w:szCs w:val="24"/>
        </w:rPr>
      </w:pPr>
    </w:p>
    <w:p w14:paraId="15816BAD">
      <w:pPr>
        <w:pStyle w:val="32"/>
        <w:numPr>
          <w:ilvl w:val="1"/>
          <w:numId w:val="1"/>
        </w:numPr>
        <w:snapToGrid w:val="0"/>
        <w:rPr>
          <w:rFonts w:ascii="微軟正黑體" w:hAnsi="微軟正黑體" w:eastAsia="微軟正黑體"/>
          <w:b/>
          <w:bCs/>
          <w:sz w:val="28"/>
          <w:szCs w:val="24"/>
        </w:rPr>
      </w:pPr>
      <w:r>
        <w:rPr>
          <w:rFonts w:ascii="微軟正黑體" w:hAnsi="微軟正黑體" w:eastAsia="微軟正黑體"/>
          <w:b/>
          <w:bCs/>
          <w:sz w:val="28"/>
          <w:szCs w:val="24"/>
        </w:rPr>
        <w:t>L2 - 職能管理模組</w:t>
      </w:r>
    </w:p>
    <w:p w14:paraId="50FF9D79">
      <w:pPr>
        <w:pStyle w:val="32"/>
        <w:numPr>
          <w:ilvl w:val="2"/>
          <w:numId w:val="1"/>
        </w:numPr>
        <w:snapToGrid w:val="0"/>
        <w:rPr>
          <w:rFonts w:ascii="微軟正黑體" w:hAnsi="微軟正黑體" w:eastAsia="微軟正黑體"/>
          <w:b/>
          <w:bCs/>
          <w:highlight w:val="none"/>
        </w:rPr>
      </w:pPr>
      <w:r>
        <w:rPr>
          <w:rFonts w:hint="eastAsia" w:ascii="微軟正黑體" w:hAnsi="微軟正黑體" w:eastAsia="微軟正黑體"/>
          <w:szCs w:val="24"/>
          <w:highlight w:val="none"/>
        </w:rPr>
        <w:t>現況問題匯總</w:t>
      </w:r>
    </w:p>
    <w:p w14:paraId="79491281">
      <w:pPr>
        <w:pStyle w:val="32"/>
        <w:numPr>
          <w:ilvl w:val="3"/>
          <w:numId w:val="1"/>
        </w:numPr>
        <w:snapToGrid w:val="0"/>
        <w:rPr>
          <w:rFonts w:ascii="微軟正黑體" w:hAnsi="微軟正黑體" w:eastAsia="微軟正黑體"/>
          <w:b/>
          <w:bCs/>
        </w:rPr>
      </w:pPr>
      <w:r>
        <w:rPr>
          <w:rFonts w:hint="eastAsia" w:ascii="微軟正黑體" w:hAnsi="微軟正黑體" w:eastAsia="微軟正黑體"/>
        </w:rPr>
        <w:t>L2 職等職級管理</w:t>
      </w:r>
    </w:p>
    <w:p w14:paraId="0357E01E">
      <w:pPr>
        <w:pStyle w:val="32"/>
        <w:numPr>
          <w:ilvl w:val="4"/>
          <w:numId w:val="1"/>
        </w:numPr>
        <w:snapToGrid w:val="0"/>
        <w:rPr>
          <w:rFonts w:ascii="微軟正黑體" w:hAnsi="微軟正黑體" w:eastAsia="微軟正黑體"/>
          <w:b/>
          <w:bCs/>
        </w:rPr>
      </w:pPr>
      <w:r>
        <w:rPr>
          <w:rFonts w:hint="eastAsia" w:ascii="微軟正黑體" w:hAnsi="微軟正黑體" w:eastAsia="微軟正黑體"/>
        </w:rPr>
        <w:t>職等職級矩陣下拉資料改成用tab的方式顯示，以方便閱讀。可參考L2文件所提供的網址修訂</w:t>
      </w:r>
    </w:p>
    <w:p w14:paraId="5D3D9F1C">
      <w:pPr>
        <w:pStyle w:val="32"/>
        <w:snapToGrid w:val="0"/>
        <w:ind w:left="0"/>
        <w:jc w:val="center"/>
        <w:rPr>
          <w:rFonts w:ascii="微軟正黑體" w:hAnsi="微軟正黑體" w:eastAsia="微軟正黑體"/>
          <w:b/>
          <w:bCs/>
        </w:rPr>
      </w:pPr>
      <w:r>
        <w:drawing>
          <wp:inline distT="0" distB="0" distL="114300" distR="114300">
            <wp:extent cx="6644640" cy="3385820"/>
            <wp:effectExtent l="0" t="0" r="0" b="12700"/>
            <wp:docPr id="11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91050">
      <w:pPr>
        <w:pStyle w:val="32"/>
        <w:numPr>
          <w:ilvl w:val="4"/>
          <w:numId w:val="2"/>
        </w:numPr>
        <w:snapToGrid w:val="0"/>
        <w:rPr>
          <w:rFonts w:hint="eastAsia"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每個核心職能必須包含 4 項行為指標。</w:t>
      </w:r>
    </w:p>
    <w:p w14:paraId="1693881C">
      <w:pPr>
        <w:pStyle w:val="32"/>
        <w:numPr>
          <w:ilvl w:val="4"/>
          <w:numId w:val="2"/>
        </w:numPr>
        <w:snapToGrid w:val="0"/>
        <w:rPr>
          <w:rFonts w:ascii="微軟正黑體" w:hAnsi="微軟正黑體" w:eastAsia="微軟正黑體"/>
          <w:szCs w:val="24"/>
        </w:rPr>
      </w:pPr>
      <w:r>
        <w:rPr>
          <w:rFonts w:hint="eastAsia" w:ascii="微軟正黑體" w:hAnsi="微軟正黑體" w:eastAsia="微軟正黑體"/>
          <w:szCs w:val="24"/>
        </w:rPr>
        <w:t>每一指標需對應 1-5 分量表**，並定義明確的評分說明（例如：1分是什麼行為，5分是什麼行為）。</w:t>
      </w:r>
    </w:p>
    <w:p w14:paraId="49955CE1">
      <w:pPr>
        <w:snapToGrid w:val="0"/>
        <w:rPr>
          <w:rFonts w:hint="eastAsia" w:ascii="微軟正黑體" w:hAnsi="微軟正黑體" w:eastAsia="微軟正黑體"/>
        </w:rPr>
      </w:pPr>
      <w:r>
        <w:rPr>
          <w:rFonts w:ascii="微軟正黑體" w:hAnsi="微軟正黑體" w:eastAsia="微軟正黑體"/>
        </w:rPr>
        <w:drawing>
          <wp:inline distT="0" distB="0" distL="0" distR="0">
            <wp:extent cx="6638925" cy="3209925"/>
            <wp:effectExtent l="0" t="0" r="9525" b="9525"/>
            <wp:docPr id="1673521292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21292" name="圖片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DE890">
      <w:pPr>
        <w:pStyle w:val="32"/>
        <w:numPr>
          <w:ilvl w:val="4"/>
          <w:numId w:val="2"/>
        </w:numPr>
        <w:snapToGrid w:val="0"/>
        <w:rPr>
          <w:rFonts w:ascii="微軟正黑體" w:hAnsi="微軟正黑體" w:eastAsia="微軟正黑體"/>
        </w:rPr>
      </w:pPr>
      <w:r>
        <w:rPr>
          <w:rFonts w:hint="eastAsia" w:ascii="微軟正黑體" w:hAnsi="微軟正黑體" w:eastAsia="微軟正黑體"/>
        </w:rPr>
        <w:t>職能模型基準無法自定義各層級的名稱，這邊的要考慮到各國的標準或是各公司使用的方案可能不同</w:t>
      </w:r>
    </w:p>
    <w:p w14:paraId="509FABA9">
      <w:pPr>
        <w:pStyle w:val="32"/>
        <w:snapToGrid w:val="0"/>
        <w:ind w:left="0"/>
        <w:jc w:val="center"/>
      </w:pPr>
      <w:r>
        <w:drawing>
          <wp:inline distT="0" distB="0" distL="114300" distR="114300">
            <wp:extent cx="2720340" cy="5105400"/>
            <wp:effectExtent l="0" t="0" r="7620" b="0"/>
            <wp:docPr id="13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959F3">
      <w:pPr>
        <w:pStyle w:val="32"/>
        <w:snapToGrid w:val="0"/>
        <w:ind w:left="0"/>
        <w:jc w:val="center"/>
      </w:pPr>
      <w:r>
        <w:drawing>
          <wp:inline distT="0" distB="0" distL="114300" distR="114300">
            <wp:extent cx="2590800" cy="5334000"/>
            <wp:effectExtent l="0" t="0" r="0" b="0"/>
            <wp:docPr id="14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C73CD">
      <w:pPr>
        <w:pStyle w:val="32"/>
        <w:numPr>
          <w:ilvl w:val="4"/>
          <w:numId w:val="2"/>
        </w:numPr>
        <w:snapToGrid w:val="0"/>
        <w:rPr>
          <w:rFonts w:ascii="微軟正黑體" w:hAnsi="微軟正黑體" w:eastAsia="微軟正黑體"/>
        </w:rPr>
      </w:pPr>
      <w:r>
        <w:rPr>
          <w:rFonts w:hint="eastAsia" w:ascii="微軟正黑體" w:hAnsi="微軟正黑體" w:eastAsia="微軟正黑體"/>
        </w:rPr>
        <w:t>職務說明書管理，發布要審核，但封存不用審核？這流程應再跟我方確認，或整理出情境流程</w:t>
      </w:r>
    </w:p>
    <w:p w14:paraId="4D748D60">
      <w:pPr>
        <w:pStyle w:val="32"/>
        <w:numPr>
          <w:ilvl w:val="4"/>
          <w:numId w:val="2"/>
        </w:numPr>
        <w:snapToGrid w:val="0"/>
        <w:rPr>
          <w:rFonts w:ascii="微軟正黑體" w:hAnsi="微軟正黑體" w:eastAsia="微軟正黑體"/>
        </w:rPr>
      </w:pPr>
      <w:r>
        <w:rPr>
          <w:rFonts w:hint="eastAsia" w:ascii="微軟正黑體" w:hAnsi="微軟正黑體" w:eastAsia="微軟正黑體"/>
        </w:rPr>
        <w:t>將『A, K, S』等代碼表示的職能分類增加明確的中文標籤（如：A-態度、K-知識、S-技能），提升系統可讀性</w:t>
      </w:r>
    </w:p>
    <w:p w14:paraId="4A01F498">
      <w:pPr>
        <w:pStyle w:val="32"/>
        <w:numPr>
          <w:ilvl w:val="4"/>
          <w:numId w:val="2"/>
        </w:numPr>
        <w:snapToGrid w:val="0"/>
        <w:rPr>
          <w:rFonts w:ascii="微軟正黑體" w:hAnsi="微軟正黑體" w:eastAsia="微軟正黑體"/>
        </w:rPr>
      </w:pPr>
      <w:r>
        <w:rPr>
          <w:rFonts w:hint="eastAsia" w:ascii="微軟正黑體" w:hAnsi="微軟正黑體" w:eastAsia="微軟正黑體"/>
        </w:rPr>
        <w:t>提供 JD 模板複製功能。當創建相似崗位（如『專員』與『資深專員』）的 JD 時，允許用戶複製現有模板並在此基礎上進行修改，以提升效率</w:t>
      </w:r>
    </w:p>
    <w:p w14:paraId="40D733FD">
      <w:pPr>
        <w:pStyle w:val="32"/>
        <w:numPr>
          <w:ilvl w:val="4"/>
          <w:numId w:val="2"/>
        </w:numPr>
        <w:snapToGrid w:val="0"/>
        <w:rPr>
          <w:rFonts w:ascii="微軟正黑體" w:hAnsi="微軟正黑體" w:eastAsia="微軟正黑體"/>
        </w:rPr>
      </w:pPr>
      <w:r>
        <w:rPr>
          <w:rFonts w:hint="eastAsia" w:ascii="微軟正黑體" w:hAnsi="微軟正黑體" w:eastAsia="微軟正黑體"/>
        </w:rPr>
        <w:t>支援通過上傳 PDF 或 CSV 文件的方式導入現有 JD。可引入 AI 技術輔助識別文件內容，並自動填充至系統的對應欄位，減少手動輸入</w:t>
      </w:r>
    </w:p>
    <w:p w14:paraId="0CE02F9A">
      <w:pPr>
        <w:pStyle w:val="32"/>
        <w:numPr>
          <w:ilvl w:val="4"/>
          <w:numId w:val="2"/>
        </w:numPr>
        <w:snapToGrid w:val="0"/>
        <w:rPr>
          <w:rFonts w:ascii="微軟正黑體" w:hAnsi="微軟正黑體" w:eastAsia="微軟正黑體"/>
        </w:rPr>
      </w:pPr>
      <w:r>
        <w:rPr>
          <w:rFonts w:hint="eastAsia" w:ascii="微軟正黑體" w:hAnsi="微軟正黑體" w:eastAsia="微軟正黑體"/>
        </w:rPr>
        <w:t>將『部門職位對照表』與『集團組織圖』功能整合。在組織圖界面中，應支援直接編輯各職位的職等（Grade）、職級（BS）以及對應的薪資範圍，確保數據源的統一</w:t>
      </w:r>
    </w:p>
    <w:p w14:paraId="77EC81BB">
      <w:pPr>
        <w:snapToGrid w:val="0"/>
        <w:rPr>
          <w:rFonts w:hint="eastAsia" w:ascii="微軟正黑體" w:hAnsi="微軟正黑體" w:eastAsia="微軟正黑體"/>
        </w:rPr>
      </w:pPr>
      <w:r>
        <w:rPr>
          <w:rFonts w:ascii="微軟正黑體" w:hAnsi="微軟正黑體" w:eastAsia="微軟正黑體"/>
        </w:rPr>
        <w:drawing>
          <wp:inline distT="0" distB="0" distL="0" distR="0">
            <wp:extent cx="6638925" cy="3733800"/>
            <wp:effectExtent l="0" t="0" r="9525" b="0"/>
            <wp:docPr id="1171491484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91484" name="圖片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32470">
      <w:pPr>
        <w:pStyle w:val="32"/>
        <w:numPr>
          <w:ilvl w:val="4"/>
          <w:numId w:val="2"/>
        </w:numPr>
        <w:snapToGrid w:val="0"/>
        <w:rPr>
          <w:rFonts w:ascii="微軟正黑體" w:hAnsi="微軟正黑體" w:eastAsia="微軟正黑體"/>
        </w:rPr>
      </w:pPr>
    </w:p>
    <w:p w14:paraId="70852EDE">
      <w:pPr>
        <w:snapToGrid w:val="0"/>
        <w:rPr>
          <w:rFonts w:hint="eastAsia" w:ascii="微軟正黑體" w:hAnsi="微軟正黑體" w:eastAsia="微軟正黑體"/>
        </w:rPr>
      </w:pPr>
      <w:r>
        <w:rPr>
          <w:rFonts w:ascii="微軟正黑體" w:hAnsi="微軟正黑體" w:eastAsia="微軟正黑體"/>
        </w:rPr>
        <w:drawing>
          <wp:inline distT="0" distB="0" distL="0" distR="0">
            <wp:extent cx="6629400" cy="3695700"/>
            <wp:effectExtent l="0" t="0" r="0" b="0"/>
            <wp:docPr id="292854648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54648" name="圖片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2ACD1">
      <w:pPr>
        <w:pStyle w:val="32"/>
        <w:numPr>
          <w:ilvl w:val="4"/>
          <w:numId w:val="2"/>
        </w:numPr>
        <w:snapToGrid w:val="0"/>
        <w:rPr>
          <w:rFonts w:ascii="微軟正黑體" w:hAnsi="微軟正黑體" w:eastAsia="微軟正黑體"/>
        </w:rPr>
      </w:pPr>
      <w:r>
        <w:rPr>
          <w:rFonts w:hint="eastAsia" w:ascii="微軟正黑體" w:hAnsi="微軟正黑體" w:eastAsia="微軟正黑體"/>
        </w:rPr>
        <w:t>晉升條件（如績效基准、必備技能、必修課程）應作為『參考標準』而非『強制門檻』。系統應允許企業自定義各項條件的權重，並保留人工決策的最終權力</w:t>
      </w:r>
    </w:p>
    <w:p w14:paraId="3C0E8B67">
      <w:pPr>
        <w:pStyle w:val="32"/>
        <w:numPr>
          <w:ilvl w:val="4"/>
          <w:numId w:val="2"/>
        </w:numPr>
        <w:snapToGrid w:val="0"/>
        <w:rPr>
          <w:rFonts w:ascii="微軟正黑體" w:hAnsi="微軟正黑體" w:eastAsia="微軟正黑體"/>
        </w:rPr>
      </w:pPr>
      <w:r>
        <w:rPr>
          <w:rFonts w:hint="eastAsia" w:ascii="微軟正黑體" w:hAnsi="微軟正黑體" w:eastAsia="微軟正黑體"/>
        </w:rPr>
        <w:t>將系統中的『績效門檻』統一修改為『績效基准』，避免負面暗示，提升使用者體驗</w:t>
      </w:r>
    </w:p>
    <w:p w14:paraId="24AFD750">
      <w:pPr>
        <w:pStyle w:val="32"/>
        <w:numPr>
          <w:numId w:val="0"/>
        </w:numPr>
        <w:snapToGrid w:val="0"/>
      </w:pP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微軟正黑體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8B73E5"/>
    <w:multiLevelType w:val="multilevel"/>
    <w:tmpl w:val="1E8B73E5"/>
    <w:lvl w:ilvl="0" w:tentative="0">
      <w:start w:val="1"/>
      <w:numFmt w:val="ideographLegalTradition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taiwaneseCountingThousand"/>
      <w:lvlText w:val="%2."/>
      <w:lvlJc w:val="left"/>
      <w:pPr>
        <w:ind w:left="960" w:hanging="480"/>
      </w:pPr>
      <w:rPr>
        <w:rFonts w:hint="eastAsia"/>
        <w:b/>
        <w:bCs/>
        <w:sz w:val="28"/>
        <w:szCs w:val="28"/>
      </w:rPr>
    </w:lvl>
    <w:lvl w:ilvl="2" w:tentative="0">
      <w:start w:val="1"/>
      <w:numFmt w:val="decimal"/>
      <w:lvlText w:val="%3."/>
      <w:lvlJc w:val="left"/>
      <w:pPr>
        <w:ind w:left="1440" w:hanging="480"/>
      </w:pPr>
      <w:rPr>
        <w:rFonts w:hint="eastAsia"/>
        <w:b w:val="0"/>
        <w:bCs w:val="0"/>
      </w:rPr>
    </w:lvl>
    <w:lvl w:ilvl="3" w:tentative="0">
      <w:start w:val="1"/>
      <w:numFmt w:val="decimal"/>
      <w:lvlText w:val="1.%4"/>
      <w:lvlJc w:val="left"/>
      <w:pPr>
        <w:ind w:left="1920" w:hanging="480"/>
      </w:pPr>
      <w:rPr>
        <w:rFonts w:hint="default"/>
        <w:b w:val="0"/>
        <w:bCs w:val="0"/>
      </w:rPr>
    </w:lvl>
    <w:lvl w:ilvl="4" w:tentative="0">
      <w:start w:val="1"/>
      <w:numFmt w:val="decimal"/>
      <w:lvlText w:val="(%5)"/>
      <w:lvlJc w:val="left"/>
      <w:pPr>
        <w:ind w:left="2400" w:hanging="480"/>
      </w:pPr>
      <w:rPr>
        <w:rFonts w:hint="eastAsia"/>
        <w:b w:val="0"/>
        <w:bCs w:val="0"/>
      </w:rPr>
    </w:lvl>
    <w:lvl w:ilvl="5" w:tentative="0">
      <w:start w:val="1"/>
      <w:numFmt w:val="upperLetter"/>
      <w:lvlText w:val="%6."/>
      <w:lvlJc w:val="left"/>
      <w:pPr>
        <w:ind w:left="2880" w:hanging="480"/>
      </w:pPr>
    </w:lvl>
    <w:lvl w:ilvl="6" w:tentative="0">
      <w:start w:val="1"/>
      <w:numFmt w:val="lowerLetter"/>
      <w:lvlText w:val="%7."/>
      <w:lvlJc w:val="left"/>
      <w:pPr>
        <w:ind w:left="3360" w:hanging="480"/>
      </w:pPr>
      <w:rPr>
        <w:rFonts w:hint="eastAsia"/>
      </w:rPr>
    </w:lvl>
    <w:lvl w:ilvl="7" w:tentative="0">
      <w:start w:val="1"/>
      <w:numFmt w:val="lowerRoman"/>
      <w:lvlText w:val="%8."/>
      <w:lvlJc w:val="righ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ABE061D"/>
    <w:multiLevelType w:val="multilevel"/>
    <w:tmpl w:val="5ABE061D"/>
    <w:lvl w:ilvl="0" w:tentative="0">
      <w:start w:val="1"/>
      <w:numFmt w:val="ideographLegalTradition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taiwaneseCountingThousand"/>
      <w:lvlText w:val="%2."/>
      <w:lvlJc w:val="left"/>
      <w:pPr>
        <w:ind w:left="960" w:hanging="480"/>
      </w:pPr>
      <w:rPr>
        <w:rFonts w:hint="eastAsia"/>
        <w:b/>
        <w:bCs/>
        <w:sz w:val="28"/>
        <w:szCs w:val="28"/>
      </w:rPr>
    </w:lvl>
    <w:lvl w:ilvl="2" w:tentative="0">
      <w:start w:val="1"/>
      <w:numFmt w:val="decimal"/>
      <w:lvlText w:val="%3."/>
      <w:lvlJc w:val="left"/>
      <w:pPr>
        <w:ind w:left="1440" w:hanging="480"/>
      </w:pPr>
      <w:rPr>
        <w:rFonts w:hint="eastAsia"/>
        <w:b w:val="0"/>
        <w:bCs w:val="0"/>
      </w:rPr>
    </w:lvl>
    <w:lvl w:ilvl="3" w:tentative="0">
      <w:start w:val="1"/>
      <w:numFmt w:val="decimal"/>
      <w:lvlText w:val="1.%4"/>
      <w:lvlJc w:val="left"/>
      <w:pPr>
        <w:ind w:left="1920" w:hanging="480"/>
      </w:pPr>
      <w:rPr>
        <w:rFonts w:hint="default"/>
        <w:b w:val="0"/>
        <w:bCs w:val="0"/>
      </w:rPr>
    </w:lvl>
    <w:lvl w:ilvl="4" w:tentative="0">
      <w:start w:val="1"/>
      <w:numFmt w:val="decimal"/>
      <w:lvlText w:val="(%5)"/>
      <w:lvlJc w:val="left"/>
      <w:pPr>
        <w:ind w:left="2400" w:hanging="480"/>
      </w:pPr>
      <w:rPr>
        <w:rFonts w:hint="eastAsia"/>
        <w:b w:val="0"/>
        <w:bCs w:val="0"/>
      </w:rPr>
    </w:lvl>
    <w:lvl w:ilvl="5" w:tentative="0">
      <w:start w:val="1"/>
      <w:numFmt w:val="upperLetter"/>
      <w:lvlText w:val="%6."/>
      <w:lvlJc w:val="left"/>
      <w:pPr>
        <w:ind w:left="2880" w:hanging="480"/>
      </w:pPr>
    </w:lvl>
    <w:lvl w:ilvl="6" w:tentative="0">
      <w:start w:val="1"/>
      <w:numFmt w:val="lowerLetter"/>
      <w:lvlText w:val="%7."/>
      <w:lvlJc w:val="left"/>
      <w:pPr>
        <w:ind w:left="3360" w:hanging="480"/>
      </w:pPr>
      <w:rPr>
        <w:rFonts w:hint="eastAsia"/>
      </w:rPr>
    </w:lvl>
    <w:lvl w:ilvl="7" w:tentative="0">
      <w:start w:val="1"/>
      <w:numFmt w:val="lowerRoman"/>
      <w:lvlText w:val="%8."/>
      <w:lvlJc w:val="righ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4FA"/>
    <w:rsid w:val="00040B18"/>
    <w:rsid w:val="000463C2"/>
    <w:rsid w:val="000475E3"/>
    <w:rsid w:val="00061B3A"/>
    <w:rsid w:val="00066AA4"/>
    <w:rsid w:val="00077F5A"/>
    <w:rsid w:val="00082D07"/>
    <w:rsid w:val="000A4AE6"/>
    <w:rsid w:val="000E40B5"/>
    <w:rsid w:val="000F0FCC"/>
    <w:rsid w:val="0016100C"/>
    <w:rsid w:val="001623B6"/>
    <w:rsid w:val="00172B1D"/>
    <w:rsid w:val="00182C26"/>
    <w:rsid w:val="00194DDE"/>
    <w:rsid w:val="001A2D41"/>
    <w:rsid w:val="001A468F"/>
    <w:rsid w:val="001B64D0"/>
    <w:rsid w:val="001D28C8"/>
    <w:rsid w:val="001F395E"/>
    <w:rsid w:val="002010A8"/>
    <w:rsid w:val="00211F5C"/>
    <w:rsid w:val="00232BC6"/>
    <w:rsid w:val="002335A3"/>
    <w:rsid w:val="00274676"/>
    <w:rsid w:val="002916C8"/>
    <w:rsid w:val="002D7776"/>
    <w:rsid w:val="002F475A"/>
    <w:rsid w:val="003226DC"/>
    <w:rsid w:val="00326576"/>
    <w:rsid w:val="003346FF"/>
    <w:rsid w:val="00365051"/>
    <w:rsid w:val="003A0990"/>
    <w:rsid w:val="003B0751"/>
    <w:rsid w:val="003F198D"/>
    <w:rsid w:val="004424A8"/>
    <w:rsid w:val="00444C46"/>
    <w:rsid w:val="004640D0"/>
    <w:rsid w:val="0047135B"/>
    <w:rsid w:val="004C1FAA"/>
    <w:rsid w:val="004F1C70"/>
    <w:rsid w:val="00504689"/>
    <w:rsid w:val="00514180"/>
    <w:rsid w:val="0055309E"/>
    <w:rsid w:val="00576092"/>
    <w:rsid w:val="00582A27"/>
    <w:rsid w:val="005A47A9"/>
    <w:rsid w:val="005B46C8"/>
    <w:rsid w:val="005C177D"/>
    <w:rsid w:val="005C25C7"/>
    <w:rsid w:val="005D14FA"/>
    <w:rsid w:val="005F16DF"/>
    <w:rsid w:val="00610AC7"/>
    <w:rsid w:val="00644848"/>
    <w:rsid w:val="00665097"/>
    <w:rsid w:val="0068088C"/>
    <w:rsid w:val="00686DD0"/>
    <w:rsid w:val="006A2E01"/>
    <w:rsid w:val="006C4C8F"/>
    <w:rsid w:val="007144DB"/>
    <w:rsid w:val="007233C4"/>
    <w:rsid w:val="00732021"/>
    <w:rsid w:val="00762072"/>
    <w:rsid w:val="007A6AAD"/>
    <w:rsid w:val="007B0FDA"/>
    <w:rsid w:val="00801C4C"/>
    <w:rsid w:val="0082361A"/>
    <w:rsid w:val="008443B9"/>
    <w:rsid w:val="00846498"/>
    <w:rsid w:val="00854414"/>
    <w:rsid w:val="00855AE3"/>
    <w:rsid w:val="00856E0A"/>
    <w:rsid w:val="00866C5A"/>
    <w:rsid w:val="00870040"/>
    <w:rsid w:val="008A6CAE"/>
    <w:rsid w:val="008B5B76"/>
    <w:rsid w:val="008B7169"/>
    <w:rsid w:val="008D153A"/>
    <w:rsid w:val="008E05B0"/>
    <w:rsid w:val="008E068F"/>
    <w:rsid w:val="009019FA"/>
    <w:rsid w:val="00915E6C"/>
    <w:rsid w:val="00937C2C"/>
    <w:rsid w:val="00972A4D"/>
    <w:rsid w:val="00977E82"/>
    <w:rsid w:val="00986854"/>
    <w:rsid w:val="00996527"/>
    <w:rsid w:val="009A1F0C"/>
    <w:rsid w:val="009A4B4B"/>
    <w:rsid w:val="009C2597"/>
    <w:rsid w:val="009E2B28"/>
    <w:rsid w:val="00A017DA"/>
    <w:rsid w:val="00A15423"/>
    <w:rsid w:val="00A2493C"/>
    <w:rsid w:val="00A30D75"/>
    <w:rsid w:val="00A316C7"/>
    <w:rsid w:val="00A33A12"/>
    <w:rsid w:val="00A52167"/>
    <w:rsid w:val="00A55926"/>
    <w:rsid w:val="00A578D7"/>
    <w:rsid w:val="00A716A3"/>
    <w:rsid w:val="00A75E96"/>
    <w:rsid w:val="00A816B4"/>
    <w:rsid w:val="00AA3BF8"/>
    <w:rsid w:val="00AA6F61"/>
    <w:rsid w:val="00AB0364"/>
    <w:rsid w:val="00AB58D1"/>
    <w:rsid w:val="00AC31F0"/>
    <w:rsid w:val="00AC3824"/>
    <w:rsid w:val="00AD6459"/>
    <w:rsid w:val="00AE34D1"/>
    <w:rsid w:val="00B21CC5"/>
    <w:rsid w:val="00B313AD"/>
    <w:rsid w:val="00B41FE4"/>
    <w:rsid w:val="00B4315F"/>
    <w:rsid w:val="00B444DE"/>
    <w:rsid w:val="00B509E3"/>
    <w:rsid w:val="00B76562"/>
    <w:rsid w:val="00B91512"/>
    <w:rsid w:val="00B967B4"/>
    <w:rsid w:val="00BC5ED2"/>
    <w:rsid w:val="00BE3603"/>
    <w:rsid w:val="00C224D0"/>
    <w:rsid w:val="00C56DD3"/>
    <w:rsid w:val="00C727E5"/>
    <w:rsid w:val="00C87F84"/>
    <w:rsid w:val="00C96342"/>
    <w:rsid w:val="00C9667B"/>
    <w:rsid w:val="00CA3A99"/>
    <w:rsid w:val="00CB63FF"/>
    <w:rsid w:val="00D0145C"/>
    <w:rsid w:val="00D35C7D"/>
    <w:rsid w:val="00D943F1"/>
    <w:rsid w:val="00DA4946"/>
    <w:rsid w:val="00DC1824"/>
    <w:rsid w:val="00E17B9E"/>
    <w:rsid w:val="00E37FC1"/>
    <w:rsid w:val="00E65199"/>
    <w:rsid w:val="00E6752D"/>
    <w:rsid w:val="00E71D64"/>
    <w:rsid w:val="00E81220"/>
    <w:rsid w:val="00E86F2F"/>
    <w:rsid w:val="00E9139C"/>
    <w:rsid w:val="00EB2AB8"/>
    <w:rsid w:val="00EC4860"/>
    <w:rsid w:val="00EE5228"/>
    <w:rsid w:val="00EF2B03"/>
    <w:rsid w:val="00F103BC"/>
    <w:rsid w:val="00F1123D"/>
    <w:rsid w:val="00F11458"/>
    <w:rsid w:val="00F2330F"/>
    <w:rsid w:val="00F449F9"/>
    <w:rsid w:val="00F506D4"/>
    <w:rsid w:val="00F67CDE"/>
    <w:rsid w:val="00F72866"/>
    <w:rsid w:val="00F75BE7"/>
    <w:rsid w:val="00F75F4C"/>
    <w:rsid w:val="00F94960"/>
    <w:rsid w:val="00FA6E81"/>
    <w:rsid w:val="00FD6C9B"/>
    <w:rsid w:val="01596A05"/>
    <w:rsid w:val="0AC246FB"/>
    <w:rsid w:val="151B19E5"/>
    <w:rsid w:val="18C7185D"/>
    <w:rsid w:val="23292DEE"/>
    <w:rsid w:val="2EE273F7"/>
    <w:rsid w:val="33373894"/>
    <w:rsid w:val="335C187A"/>
    <w:rsid w:val="33E57DDE"/>
    <w:rsid w:val="386406A5"/>
    <w:rsid w:val="3E6C64F3"/>
    <w:rsid w:val="41383F02"/>
    <w:rsid w:val="42A6360C"/>
    <w:rsid w:val="43F87310"/>
    <w:rsid w:val="45E95171"/>
    <w:rsid w:val="4956713E"/>
    <w:rsid w:val="4DBE72EA"/>
    <w:rsid w:val="4DC31516"/>
    <w:rsid w:val="4F3B6921"/>
    <w:rsid w:val="4FC366BC"/>
    <w:rsid w:val="528A42DC"/>
    <w:rsid w:val="53EA0BEA"/>
    <w:rsid w:val="5D526211"/>
    <w:rsid w:val="6B0B3C2C"/>
    <w:rsid w:val="6B275C78"/>
    <w:rsid w:val="75667FDD"/>
    <w:rsid w:val="76A97CEE"/>
    <w:rsid w:val="76CB0842"/>
    <w:rsid w:val="7D582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4"/>
      <w:szCs w:val="22"/>
      <w:lang w:val="en-US" w:eastAsia="zh-TW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40"/>
      <w:outlineLvl w:val="2"/>
    </w:pPr>
    <w:rPr>
      <w:rFonts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160" w:after="40"/>
      <w:outlineLvl w:val="3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ind w:left="100" w:leftChars="10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before="40"/>
      <w:ind w:left="200" w:leftChars="200"/>
      <w:outlineLvl w:val="7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before="40"/>
      <w:ind w:left="300" w:leftChars="30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ead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14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17">
    <w:name w:val="Normal (Web)"/>
    <w:basedOn w:val="1"/>
    <w:semiHidden/>
    <w:unhideWhenUsed/>
    <w:qFormat/>
    <w:uiPriority w:val="99"/>
    <w:rPr>
      <w:rFonts w:ascii="Times New Roman" w:hAnsi="Times New Roman" w:cs="Times New Roman"/>
      <w:szCs w:val="24"/>
    </w:rPr>
  </w:style>
  <w:style w:type="table" w:styleId="18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標題 1 字元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標題 2 字元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標題 3 字元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標題 4 字元"/>
    <w:basedOn w:val="11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標題 5 字元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標題 6 字元"/>
    <w:basedOn w:val="11"/>
    <w:link w:val="7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標題 7 字元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標題 8 字元"/>
    <w:basedOn w:val="11"/>
    <w:link w:val="9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標題 9 字元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標題 字元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標題 字元"/>
    <w:basedOn w:val="11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文 字元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鮮明強調1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鮮明引文 字元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鮮明參考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頁首 字元"/>
    <w:basedOn w:val="11"/>
    <w:link w:val="13"/>
    <w:qFormat/>
    <w:uiPriority w:val="99"/>
    <w:rPr>
      <w:sz w:val="20"/>
      <w:szCs w:val="20"/>
      <w14:ligatures w14:val="none"/>
    </w:rPr>
  </w:style>
  <w:style w:type="character" w:customStyle="1" w:styleId="38">
    <w:name w:val="頁尾 字元"/>
    <w:basedOn w:val="11"/>
    <w:link w:val="16"/>
    <w:qFormat/>
    <w:uiPriority w:val="99"/>
    <w:rPr>
      <w:sz w:val="20"/>
      <w:szCs w:val="2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12</Pages>
  <Words>3793</Words>
  <Characters>21625</Characters>
  <Lines>180</Lines>
  <Paragraphs>50</Paragraphs>
  <TotalTime>0</TotalTime>
  <ScaleCrop>false</ScaleCrop>
  <LinksUpToDate>false</LinksUpToDate>
  <CharactersWithSpaces>25368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2026-02-07T06:53:00Z</dcterms:created>
  <dc:creator>Lulu CH</dc:creator>
  <cp:lastModifiedBy>drink</cp:lastModifiedBy>
  <dcterms:modified xsi:type="dcterms:W3CDTF">2026-02-26T08:07:44Z</dcterms:modified>
  <cp:revision>148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eyJoZGlkIjoiZmEwODM1YWE2MWNmNGZjZTdmYTA5MGNlN2QwZjI2OTIifQ==</vt:lpwstr>
  </property>
  <property fmtid="{D5CDD505-2E9C-101B-9397-08002B2CF9AE}" pid="3" name="KSOProductBuildVer">
    <vt:lpwstr>3076-12.2.0.22549</vt:lpwstr>
  </property>
  <property fmtid="{D5CDD505-2E9C-101B-9397-08002B2CF9AE}" pid="4" name="ICV">
    <vt:lpwstr>E4051D3DBA994557A661B8D0C3028C3F_13</vt:lpwstr>
  </property>
</Properties>
</file>