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債務整理・法テラス相談用整理書面</w:t>
      </w:r>
    </w:p>
    <w:p>
      <w:pPr>
        <w:spacing w:after="360"/>
      </w:pPr>
      <w:r>
        <w:rPr>
          <w:rFonts w:ascii="Arial" w:hAnsi="Arial" w:eastAsia="Arial"/>
          <w:b w:val="0"/>
          <w:color w:val="555555"/>
          <w:sz w:val="24"/>
        </w:rPr>
        <w:t>自己破産・個人再生の検討と、双極性障害に関する資料整理</w:t>
      </w:r>
    </w:p>
    <w:p>
      <w:r>
        <w:rPr>
          <w:rFonts w:ascii="Arial" w:hAnsi="Arial" w:eastAsia="Arial"/>
          <w:b w:val="0"/>
          <w:color w:val="555555"/>
          <w:sz w:val="20"/>
        </w:rPr>
        <w:t>作成日：2026年8月5日　　用途：弁護士・法テラスへの相談、本人用確認資料</w:t>
      </w:r>
    </w:p>
    <w:p>
      <w:pPr>
        <w:pStyle w:val="Heading1"/>
      </w:pPr>
      <w:r>
        <w:rPr>
          <w:rFonts w:ascii="Arial" w:hAnsi="Arial" w:eastAsia="Arial"/>
          <w:b w:val="0"/>
          <w:color w:val="000000"/>
          <w:sz w:val="40"/>
        </w:rPr>
        <w:t>1. 現在の状況</w:t>
      </w:r>
    </w:p>
    <w:tbl>
      <w:tblPr>
        <w:tblStyle w:val="TableGrid"/>
        <w:tblW w:type="dxa" w:w="9360"/>
        <w:jc w:val="left"/>
        <w:tblLayout w:type="fixed"/>
        <w:tblLook w:firstColumn="1" w:firstRow="1" w:lastColumn="0" w:lastRow="0" w:noHBand="0" w:noVBand="1" w:val="04A0"/>
        <w:tblInd w:w="0" w:type="dxa"/>
      </w:tblPr>
      <w:tblGrid>
        <w:gridCol w:w="2300"/>
        <w:gridCol w:w="7060"/>
      </w:tblGrid>
      <w:tr>
        <w:tc>
          <w:tcPr>
            <w:tcW w:type="dxa" w:w="2300"/>
            <w:vAlign w:val="center"/>
            <w:tcMar>
              <w:top w:w="80" w:type="dxa"/>
              <w:start w:w="120" w:type="dxa"/>
              <w:bottom w:w="80" w:type="dxa"/>
              <w:end w:w="120" w:type="dxa"/>
            </w:tcMar>
          </w:tcPr>
          <w:p>
            <w:r>
              <w:rPr>
                <w:rFonts w:ascii="Arial" w:hAnsi="Arial" w:eastAsia="Arial"/>
                <w:b/>
                <w:color w:val="000000"/>
                <w:sz w:val="22"/>
              </w:rPr>
              <w:t>生活状況</w:t>
            </w:r>
          </w:p>
        </w:tc>
        <w:tc>
          <w:tcPr>
            <w:tcW w:type="dxa" w:w="7060"/>
            <w:vAlign w:val="center"/>
            <w:tcMar>
              <w:top w:w="80" w:type="dxa"/>
              <w:start w:w="120" w:type="dxa"/>
              <w:bottom w:w="80" w:type="dxa"/>
              <w:end w:w="120" w:type="dxa"/>
            </w:tcMar>
          </w:tcPr>
          <w:p>
            <w:r>
              <w:rPr>
                <w:rFonts w:ascii="Arial" w:hAnsi="Arial" w:eastAsia="Arial"/>
                <w:b w:val="0"/>
                <w:color w:val="000000"/>
                <w:sz w:val="22"/>
              </w:rPr>
              <w:t>一人暮らし、無職</w:t>
            </w:r>
          </w:p>
        </w:tc>
      </w:tr>
      <w:tr>
        <w:tc>
          <w:tcPr>
            <w:tcW w:type="dxa" w:w="2300"/>
            <w:vAlign w:val="center"/>
            <w:tcMar>
              <w:top w:w="80" w:type="dxa"/>
              <w:start w:w="120" w:type="dxa"/>
              <w:bottom w:w="80" w:type="dxa"/>
              <w:end w:w="120" w:type="dxa"/>
            </w:tcMar>
          </w:tcPr>
          <w:p>
            <w:r>
              <w:rPr>
                <w:rFonts w:ascii="Arial" w:hAnsi="Arial" w:eastAsia="Arial"/>
                <w:b/>
                <w:color w:val="000000"/>
                <w:sz w:val="22"/>
              </w:rPr>
              <w:t>収入</w:t>
            </w:r>
          </w:p>
        </w:tc>
        <w:tc>
          <w:tcPr>
            <w:tcW w:type="dxa" w:w="7060"/>
            <w:vAlign w:val="center"/>
            <w:tcMar>
              <w:top w:w="80" w:type="dxa"/>
              <w:start w:w="120" w:type="dxa"/>
              <w:bottom w:w="80" w:type="dxa"/>
              <w:end w:w="120" w:type="dxa"/>
            </w:tcMar>
          </w:tcPr>
          <w:p>
            <w:r>
              <w:rPr>
                <w:rFonts w:ascii="Arial" w:hAnsi="Arial" w:eastAsia="Arial"/>
                <w:b w:val="0"/>
                <w:color w:val="000000"/>
                <w:sz w:val="22"/>
              </w:rPr>
              <w:t>障害年金2級。月換算約11万円</w:t>
            </w:r>
          </w:p>
        </w:tc>
      </w:tr>
      <w:tr>
        <w:tc>
          <w:tcPr>
            <w:tcW w:type="dxa" w:w="2300"/>
            <w:vAlign w:val="center"/>
            <w:tcMar>
              <w:top w:w="80" w:type="dxa"/>
              <w:start w:w="120" w:type="dxa"/>
              <w:bottom w:w="80" w:type="dxa"/>
              <w:end w:w="120" w:type="dxa"/>
            </w:tcMar>
          </w:tcPr>
          <w:p>
            <w:r>
              <w:rPr>
                <w:rFonts w:ascii="Arial" w:hAnsi="Arial" w:eastAsia="Arial"/>
                <w:b/>
                <w:color w:val="000000"/>
                <w:sz w:val="22"/>
              </w:rPr>
              <w:t>現在の預貯金</w:t>
            </w:r>
          </w:p>
        </w:tc>
        <w:tc>
          <w:tcPr>
            <w:tcW w:type="dxa" w:w="7060"/>
            <w:vAlign w:val="center"/>
            <w:tcMar>
              <w:top w:w="80" w:type="dxa"/>
              <w:start w:w="120" w:type="dxa"/>
              <w:bottom w:w="80" w:type="dxa"/>
              <w:end w:w="120" w:type="dxa"/>
            </w:tcMar>
          </w:tcPr>
          <w:p>
            <w:r>
              <w:rPr>
                <w:rFonts w:ascii="Arial" w:hAnsi="Arial" w:eastAsia="Arial"/>
                <w:b w:val="0"/>
                <w:color w:val="000000"/>
                <w:sz w:val="22"/>
              </w:rPr>
              <w:t>全口座を確認した結果、約110万円（現金・他資産を別途確認）</w:t>
            </w:r>
          </w:p>
        </w:tc>
      </w:tr>
      <w:tr>
        <w:tc>
          <w:tcPr>
            <w:tcW w:type="dxa" w:w="2300"/>
            <w:vAlign w:val="center"/>
            <w:tcMar>
              <w:top w:w="80" w:type="dxa"/>
              <w:start w:w="120" w:type="dxa"/>
              <w:bottom w:w="80" w:type="dxa"/>
              <w:end w:w="120" w:type="dxa"/>
            </w:tcMar>
          </w:tcPr>
          <w:p>
            <w:r>
              <w:rPr>
                <w:rFonts w:ascii="Arial" w:hAnsi="Arial" w:eastAsia="Arial"/>
                <w:b/>
                <w:color w:val="000000"/>
                <w:sz w:val="22"/>
              </w:rPr>
              <w:t>過去の預貯金</w:t>
            </w:r>
          </w:p>
        </w:tc>
        <w:tc>
          <w:tcPr>
            <w:tcW w:type="dxa" w:w="7060"/>
            <w:vAlign w:val="center"/>
            <w:tcMar>
              <w:top w:w="80" w:type="dxa"/>
              <w:start w:w="120" w:type="dxa"/>
              <w:bottom w:w="80" w:type="dxa"/>
              <w:end w:w="120" w:type="dxa"/>
            </w:tcMar>
          </w:tcPr>
          <w:p>
            <w:r>
              <w:rPr>
                <w:rFonts w:ascii="Arial" w:hAnsi="Arial" w:eastAsia="Arial"/>
                <w:b w:val="0"/>
                <w:color w:val="000000"/>
                <w:sz w:val="22"/>
              </w:rPr>
              <w:t>2026年5月頃は約300万円。現在までの減少約190万円について使途整理が必要</w:t>
            </w:r>
          </w:p>
        </w:tc>
      </w:tr>
      <w:tr>
        <w:tc>
          <w:tcPr>
            <w:tcW w:type="dxa" w:w="2300"/>
            <w:vAlign w:val="center"/>
            <w:tcMar>
              <w:top w:w="80" w:type="dxa"/>
              <w:start w:w="120" w:type="dxa"/>
              <w:bottom w:w="80" w:type="dxa"/>
              <w:end w:w="120" w:type="dxa"/>
            </w:tcMar>
          </w:tcPr>
          <w:p>
            <w:r>
              <w:rPr>
                <w:rFonts w:ascii="Arial" w:hAnsi="Arial" w:eastAsia="Arial"/>
                <w:b/>
                <w:color w:val="000000"/>
                <w:sz w:val="22"/>
              </w:rPr>
              <w:t>債務名義</w:t>
            </w:r>
          </w:p>
        </w:tc>
        <w:tc>
          <w:tcPr>
            <w:tcW w:type="dxa" w:w="7060"/>
            <w:vAlign w:val="center"/>
            <w:tcMar>
              <w:top w:w="80" w:type="dxa"/>
              <w:start w:w="120" w:type="dxa"/>
              <w:bottom w:w="80" w:type="dxa"/>
              <w:end w:w="120" w:type="dxa"/>
            </w:tcMar>
          </w:tcPr>
          <w:p>
            <w:r>
              <w:rPr>
                <w:rFonts w:ascii="Arial" w:hAnsi="Arial" w:eastAsia="Arial"/>
                <w:b w:val="0"/>
                <w:color w:val="000000"/>
                <w:sz w:val="22"/>
              </w:rPr>
              <w:t>楽天カード、エポス、ライフカード</w:t>
            </w:r>
          </w:p>
        </w:tc>
      </w:tr>
      <w:tr>
        <w:tc>
          <w:tcPr>
            <w:tcW w:type="dxa" w:w="2300"/>
            <w:vAlign w:val="center"/>
            <w:tcMar>
              <w:top w:w="80" w:type="dxa"/>
              <w:start w:w="120" w:type="dxa"/>
              <w:bottom w:w="80" w:type="dxa"/>
              <w:end w:w="120" w:type="dxa"/>
            </w:tcMar>
          </w:tcPr>
          <w:p>
            <w:r>
              <w:rPr>
                <w:rFonts w:ascii="Arial" w:hAnsi="Arial" w:eastAsia="Arial"/>
                <w:b/>
                <w:color w:val="000000"/>
                <w:sz w:val="22"/>
              </w:rPr>
              <w:t>病気</w:t>
            </w:r>
          </w:p>
        </w:tc>
        <w:tc>
          <w:tcPr>
            <w:tcW w:type="dxa" w:w="7060"/>
            <w:vAlign w:val="center"/>
            <w:tcMar>
              <w:top w:w="80" w:type="dxa"/>
              <w:start w:w="120" w:type="dxa"/>
              <w:bottom w:w="80" w:type="dxa"/>
              <w:end w:w="120" w:type="dxa"/>
            </w:tcMar>
          </w:tcPr>
          <w:p>
            <w:r>
              <w:rPr>
                <w:rFonts w:ascii="Arial" w:hAnsi="Arial" w:eastAsia="Arial"/>
                <w:b w:val="0"/>
                <w:color w:val="000000"/>
                <w:sz w:val="22"/>
              </w:rPr>
              <w:t>双極性障害。現在も精神科・心療内科へ通院中</w:t>
            </w:r>
          </w:p>
        </w:tc>
      </w:tr>
      <w:tr>
        <w:tc>
          <w:tcPr>
            <w:tcW w:type="dxa" w:w="2300"/>
            <w:vAlign w:val="center"/>
            <w:tcMar>
              <w:top w:w="80" w:type="dxa"/>
              <w:start w:w="120" w:type="dxa"/>
              <w:bottom w:w="80" w:type="dxa"/>
              <w:end w:w="120" w:type="dxa"/>
            </w:tcMar>
          </w:tcPr>
          <w:p>
            <w:r>
              <w:rPr>
                <w:rFonts w:ascii="Arial" w:hAnsi="Arial" w:eastAsia="Arial"/>
                <w:b/>
                <w:color w:val="000000"/>
                <w:sz w:val="22"/>
              </w:rPr>
              <w:t>浪費</w:t>
            </w:r>
          </w:p>
        </w:tc>
        <w:tc>
          <w:tcPr>
            <w:tcW w:type="dxa" w:w="7060"/>
            <w:vAlign w:val="center"/>
            <w:tcMar>
              <w:top w:w="80" w:type="dxa"/>
              <w:start w:w="120" w:type="dxa"/>
              <w:bottom w:w="80" w:type="dxa"/>
              <w:end w:w="120" w:type="dxa"/>
            </w:tcMar>
          </w:tcPr>
          <w:p>
            <w:r>
              <w:rPr>
                <w:rFonts w:ascii="Arial" w:hAnsi="Arial" w:eastAsia="Arial"/>
                <w:b w:val="0"/>
                <w:color w:val="000000"/>
                <w:sz w:val="22"/>
              </w:rPr>
              <w:t>直近約2年間で約1,500万円と指摘されている。躁状態との関係を医学資料で確認予定</w:t>
            </w:r>
          </w:p>
        </w:tc>
      </w:tr>
      <w:tr>
        <w:tc>
          <w:tcPr>
            <w:tcW w:type="dxa" w:w="2300"/>
            <w:vAlign w:val="center"/>
            <w:tcMar>
              <w:top w:w="80" w:type="dxa"/>
              <w:start w:w="120" w:type="dxa"/>
              <w:bottom w:w="80" w:type="dxa"/>
              <w:end w:w="120" w:type="dxa"/>
            </w:tcMar>
          </w:tcPr>
          <w:p>
            <w:r>
              <w:rPr>
                <w:rFonts w:ascii="Arial" w:hAnsi="Arial" w:eastAsia="Arial"/>
                <w:b/>
                <w:color w:val="000000"/>
                <w:sz w:val="22"/>
              </w:rPr>
              <w:t>過去の財産関係</w:t>
            </w:r>
          </w:p>
        </w:tc>
        <w:tc>
          <w:tcPr>
            <w:tcW w:type="dxa" w:w="7060"/>
            <w:vAlign w:val="center"/>
            <w:tcMar>
              <w:top w:w="80" w:type="dxa"/>
              <w:start w:w="120" w:type="dxa"/>
              <w:bottom w:w="80" w:type="dxa"/>
              <w:end w:w="120" w:type="dxa"/>
            </w:tcMar>
          </w:tcPr>
          <w:p>
            <w:r>
              <w:rPr>
                <w:rFonts w:ascii="Arial" w:hAnsi="Arial" w:eastAsia="Arial"/>
                <w:b w:val="0"/>
                <w:color w:val="000000"/>
                <w:sz w:val="22"/>
              </w:rPr>
              <w:t>約2年前に遺産分割、不動産持分への仮差押え、約50万円の支払い、代償金受領と生活費等への支出あり</w:t>
            </w:r>
          </w:p>
        </w:tc>
      </w:tr>
    </w:tbl>
    <w:p>
      <w:pPr>
        <w:pStyle w:val="Heading1"/>
      </w:pPr>
      <w:r>
        <w:rPr>
          <w:rFonts w:ascii="Arial" w:hAnsi="Arial" w:eastAsia="Arial"/>
          <w:b w:val="0"/>
          <w:color w:val="000000"/>
          <w:sz w:val="40"/>
        </w:rPr>
        <w:t>2. 現時点での重要な整理</w:t>
      </w:r>
    </w:p>
    <w:p>
      <w:r>
        <w:rPr>
          <w:rFonts w:ascii="Arial" w:hAnsi="Arial" w:eastAsia="Arial"/>
          <w:b w:val="0"/>
          <w:color w:val="000000"/>
          <w:sz w:val="22"/>
        </w:rPr>
        <w:t>自己破産を直ちに諦める段階ではない。浪費は免責不許可事由になり得るが、それだけで当然に免責不許可となるわけではなく、管財事件で裁量免責を目指す余地がある。</w:t>
      </w:r>
    </w:p>
    <w:p>
      <w:r>
        <w:rPr>
          <w:rFonts w:ascii="Arial" w:hAnsi="Arial" w:eastAsia="Arial"/>
          <w:b w:val="0"/>
          <w:color w:val="000000"/>
          <w:sz w:val="22"/>
        </w:rPr>
        <w:t>双極性障害の診断だけで免責が決まるわけではない。浪費時期と躁状態の時期が客観的に一致するか、現在の治療・家計改善・再発防止、財産と取引履歴の完全開示、管財人への協力などが重要になる。</w:t>
      </w:r>
    </w:p>
    <w:p>
      <w:r>
        <w:rPr>
          <w:rFonts w:ascii="Arial" w:hAnsi="Arial" w:eastAsia="Arial"/>
          <w:b w:val="0"/>
          <w:color w:val="000000"/>
          <w:sz w:val="22"/>
        </w:rPr>
        <w:t>個人再生は免責不許可事由の問題を避けやすいが、障害年金月約11万円から原則3年、事情により5年の返済を継続できるかを数値で検討しなければならない。</w:t>
      </w:r>
    </w:p>
    <w:p>
      <w:pPr>
        <w:pStyle w:val="Heading1"/>
      </w:pPr>
      <w:r>
        <w:rPr>
          <w:rFonts w:ascii="Arial" w:hAnsi="Arial" w:eastAsia="Arial"/>
          <w:b w:val="0"/>
          <w:color w:val="000000"/>
          <w:sz w:val="40"/>
        </w:rPr>
        <w:t>3. 法テラス民事法律扶助の可能性</w:t>
      </w:r>
    </w:p>
    <w:p>
      <w:r>
        <w:rPr>
          <w:rFonts w:ascii="Arial" w:hAnsi="Arial" w:eastAsia="Arial"/>
          <w:b w:val="0"/>
          <w:color w:val="000000"/>
          <w:sz w:val="22"/>
        </w:rPr>
        <w:t>一人暮らしの場合、資産基準は原則180万円以下、収入基準は原則月18万2,000円以下（東京都特別区・大阪市などは20万200円以下）。現在の預貯金約110万円、障害年金月約11万円という情報だけなら、資力基準を満たす可能性が高い。</w:t>
      </w:r>
    </w:p>
    <w:p>
      <w:r>
        <w:rPr>
          <w:rFonts w:ascii="Arial" w:hAnsi="Arial" w:eastAsia="Arial"/>
          <w:b w:val="0"/>
          <w:color w:val="000000"/>
          <w:sz w:val="22"/>
        </w:rPr>
        <w:t>ただし、現金、全預貯金、有価証券、暗号資産、保険解約返戻金、換価価値のある物、不動産等を合算して確認する必要がある。また、5月から現在までに約190万円減少しているため、通帳・カード明細等により使途を説明する必要がある。</w:t>
      </w:r>
    </w:p>
    <w:p>
      <w:r>
        <w:rPr>
          <w:rFonts w:ascii="Arial" w:hAnsi="Arial" w:eastAsia="Arial"/>
          <w:b w:val="0"/>
          <w:color w:val="000000"/>
          <w:sz w:val="22"/>
        </w:rPr>
        <w:t>資力基準を満たしても、自己破産では裁量免責の見込み、個人再生では再生計画の履行可能性について審査される。正式な援助申込みを行えるか、法テラス契約弁護士に確認する。</w:t>
      </w:r>
    </w:p>
    <w:p>
      <w:pPr>
        <w:pStyle w:val="Heading1"/>
      </w:pPr>
      <w:r>
        <w:rPr>
          <w:rFonts w:ascii="Arial" w:hAnsi="Arial" w:eastAsia="Arial"/>
          <w:b w:val="0"/>
          <w:color w:val="000000"/>
          <w:sz w:val="40"/>
        </w:rPr>
        <w:t>4. 費用の目安</w:t>
      </w:r>
    </w:p>
    <w:p>
      <w:pPr>
        <w:pStyle w:val="Heading2"/>
      </w:pPr>
      <w:r>
        <w:rPr>
          <w:rFonts w:ascii="Arial" w:hAnsi="Arial" w:eastAsia="Arial"/>
          <w:b w:val="0"/>
          <w:color w:val="000000"/>
          <w:sz w:val="32"/>
        </w:rPr>
        <w:t>自己破産</w:t>
      </w:r>
    </w:p>
    <w:p>
      <w:pPr>
        <w:pStyle w:val="ListBullet"/>
        <w:spacing w:after="80" w:line="276" w:lineRule="auto"/>
        <w:ind w:left="720" w:hanging="360"/>
      </w:pPr>
      <w:r>
        <w:rPr>
          <w:rFonts w:ascii="Arial" w:hAnsi="Arial" w:eastAsia="Arial"/>
          <w:b w:val="0"/>
          <w:color w:val="000000"/>
          <w:sz w:val="22"/>
        </w:rPr>
        <w:t>相談した弁護士の提示額：弁護士費用総額90万円</w:t>
      </w:r>
    </w:p>
    <w:p>
      <w:pPr>
        <w:pStyle w:val="ListBullet"/>
        <w:spacing w:after="80" w:line="276" w:lineRule="auto"/>
        <w:ind w:left="720" w:hanging="360"/>
      </w:pPr>
      <w:r>
        <w:rPr>
          <w:rFonts w:ascii="Arial" w:hAnsi="Arial" w:eastAsia="Arial"/>
          <w:b w:val="0"/>
          <w:color w:val="000000"/>
          <w:sz w:val="22"/>
        </w:rPr>
        <w:t>管財予納金：20万～50万円と説明されている</w:t>
      </w:r>
    </w:p>
    <w:p>
      <w:pPr>
        <w:pStyle w:val="ListBullet"/>
        <w:spacing w:after="80" w:line="276" w:lineRule="auto"/>
        <w:ind w:left="720" w:hanging="360"/>
      </w:pPr>
      <w:r>
        <w:rPr>
          <w:rFonts w:ascii="Arial" w:hAnsi="Arial" w:eastAsia="Arial"/>
          <w:b w:val="0"/>
          <w:color w:val="000000"/>
          <w:sz w:val="22"/>
        </w:rPr>
        <w:t>想定総額：110万～140万円程度。印紙・郵券・官報費用等が別途か、見積書で確認する</w:t>
      </w:r>
    </w:p>
    <w:p>
      <w:r>
        <w:rPr>
          <w:rFonts w:ascii="Arial" w:hAnsi="Arial" w:eastAsia="Arial"/>
          <w:b w:val="0"/>
          <w:color w:val="000000"/>
          <w:sz w:val="22"/>
        </w:rPr>
        <w:t>90万円が免責確定までの全弁護士費用であっても高額な部類であり、複雑事件としての内訳、追加費用、途中終了時の精算、申立予定日を確認する。</w:t>
      </w:r>
    </w:p>
    <w:p>
      <w:pPr>
        <w:pStyle w:val="Heading2"/>
      </w:pPr>
      <w:r>
        <w:rPr>
          <w:rFonts w:ascii="Arial" w:hAnsi="Arial" w:eastAsia="Arial"/>
          <w:b w:val="0"/>
          <w:color w:val="000000"/>
          <w:sz w:val="32"/>
        </w:rPr>
        <w:t>個人再生</w:t>
      </w:r>
    </w:p>
    <w:p>
      <w:pPr>
        <w:pStyle w:val="ListBullet"/>
        <w:spacing w:after="80" w:line="276" w:lineRule="auto"/>
        <w:ind w:left="720" w:hanging="360"/>
      </w:pPr>
      <w:r>
        <w:rPr>
          <w:rFonts w:ascii="Arial" w:hAnsi="Arial" w:eastAsia="Arial"/>
          <w:b w:val="0"/>
          <w:color w:val="000000"/>
          <w:sz w:val="22"/>
        </w:rPr>
        <w:t>弁護士費用の一般的な目安：30万～60万円程度</w:t>
      </w:r>
    </w:p>
    <w:p>
      <w:pPr>
        <w:pStyle w:val="ListBullet"/>
        <w:spacing w:after="80" w:line="276" w:lineRule="auto"/>
        <w:ind w:left="720" w:hanging="360"/>
      </w:pPr>
      <w:r>
        <w:rPr>
          <w:rFonts w:ascii="Arial" w:hAnsi="Arial" w:eastAsia="Arial"/>
          <w:b w:val="0"/>
          <w:color w:val="000000"/>
          <w:sz w:val="22"/>
        </w:rPr>
        <w:t>裁判所費用：申立手数料、郵便料、官報費用等。個人再生委員が選任される地域では約20万～30万円程度が加わることがある</w:t>
      </w:r>
    </w:p>
    <w:p>
      <w:pPr>
        <w:pStyle w:val="ListBullet"/>
        <w:spacing w:after="80" w:line="276" w:lineRule="auto"/>
        <w:ind w:left="720" w:hanging="360"/>
      </w:pPr>
      <w:r>
        <w:rPr>
          <w:rFonts w:ascii="Arial" w:hAnsi="Arial" w:eastAsia="Arial"/>
          <w:b w:val="0"/>
          <w:color w:val="000000"/>
          <w:sz w:val="22"/>
        </w:rPr>
        <w:t>概算総額：32万～90万円程度。ただし事件の複雑さ、地域、住宅ローン特則、再生委員選任の有無で変動する</w:t>
      </w:r>
    </w:p>
    <w:p>
      <w:r>
        <w:rPr>
          <w:rFonts w:ascii="Arial" w:hAnsi="Arial" w:eastAsia="Arial"/>
          <w:b w:val="0"/>
          <w:color w:val="000000"/>
          <w:sz w:val="22"/>
        </w:rPr>
        <w:t>依頼前に、弁護士費用、成功報酬、裁判所実費、個人再生委員費用を分けた見積書を受け取る。また、自己破産から個人再生へ変更する場合、または個人再生不成立後に破産へ変更する場合の追加費用を確認する。</w:t>
      </w:r>
    </w:p>
    <w:p>
      <w:pPr>
        <w:pStyle w:val="Heading1"/>
      </w:pPr>
      <w:r>
        <w:rPr>
          <w:rFonts w:ascii="Arial" w:hAnsi="Arial" w:eastAsia="Arial"/>
          <w:b w:val="0"/>
          <w:color w:val="000000"/>
          <w:sz w:val="40"/>
        </w:rPr>
        <w:t>5. 主治医に相談する医学資料</w:t>
      </w:r>
    </w:p>
    <w:p>
      <w:r>
        <w:rPr>
          <w:rFonts w:ascii="Arial" w:hAnsi="Arial" w:eastAsia="Arial"/>
          <w:b w:val="0"/>
          <w:color w:val="000000"/>
          <w:sz w:val="22"/>
        </w:rPr>
        <w:t>主治医に『免責を認めるべき』という法律判断を求めるものではない。弁護士が必要項目を整理したうえで、診療記録に基づく医学的事実を記載してもらう。いきなり意見書を依頼するのではなく、まず既存資料で足りるかを弁護士へ確認する。</w:t>
      </w:r>
    </w:p>
    <w:p>
      <w:pPr>
        <w:pStyle w:val="ListBullet"/>
        <w:spacing w:after="80" w:line="276" w:lineRule="auto"/>
        <w:ind w:left="720" w:hanging="360"/>
      </w:pPr>
      <w:r>
        <w:rPr>
          <w:rFonts w:ascii="Arial" w:hAnsi="Arial" w:eastAsia="Arial"/>
          <w:b w:val="0"/>
          <w:color w:val="000000"/>
          <w:sz w:val="22"/>
        </w:rPr>
        <w:t>障害年金申請時・更新時の診断書、精神障害者保健福祉手帳の診断書</w:t>
      </w:r>
    </w:p>
    <w:p>
      <w:pPr>
        <w:pStyle w:val="ListBullet"/>
        <w:spacing w:after="80" w:line="276" w:lineRule="auto"/>
        <w:ind w:left="720" w:hanging="360"/>
      </w:pPr>
      <w:r>
        <w:rPr>
          <w:rFonts w:ascii="Arial" w:hAnsi="Arial" w:eastAsia="Arial"/>
          <w:b w:val="0"/>
          <w:color w:val="000000"/>
          <w:sz w:val="22"/>
        </w:rPr>
        <w:t>通院歴、処方歴、カルテ・診療情報</w:t>
      </w:r>
    </w:p>
    <w:p>
      <w:pPr>
        <w:pStyle w:val="ListBullet"/>
        <w:spacing w:after="80" w:line="276" w:lineRule="auto"/>
        <w:ind w:left="720" w:hanging="360"/>
      </w:pPr>
      <w:r>
        <w:rPr>
          <w:rFonts w:ascii="Arial" w:hAnsi="Arial" w:eastAsia="Arial"/>
          <w:b w:val="0"/>
          <w:color w:val="000000"/>
          <w:sz w:val="22"/>
        </w:rPr>
        <w:t>浪費した時期に躁状態が認められたか、その時期と症状</w:t>
      </w:r>
    </w:p>
    <w:p>
      <w:pPr>
        <w:pStyle w:val="ListBullet"/>
        <w:spacing w:after="80" w:line="276" w:lineRule="auto"/>
        <w:ind w:left="720" w:hanging="360"/>
      </w:pPr>
      <w:r>
        <w:rPr>
          <w:rFonts w:ascii="Arial" w:hAnsi="Arial" w:eastAsia="Arial"/>
          <w:b w:val="0"/>
          <w:color w:val="000000"/>
          <w:sz w:val="22"/>
        </w:rPr>
        <w:t>衝動性、判断力、金銭管理能力への医学的影響</w:t>
      </w:r>
    </w:p>
    <w:p>
      <w:pPr>
        <w:pStyle w:val="ListBullet"/>
        <w:spacing w:after="80" w:line="276" w:lineRule="auto"/>
        <w:ind w:left="720" w:hanging="360"/>
      </w:pPr>
      <w:r>
        <w:rPr>
          <w:rFonts w:ascii="Arial" w:hAnsi="Arial" w:eastAsia="Arial"/>
          <w:b w:val="0"/>
          <w:color w:val="000000"/>
          <w:sz w:val="22"/>
        </w:rPr>
        <w:t>現在の病状、治療状況、再発防止に必要な支援</w:t>
      </w:r>
    </w:p>
    <w:p>
      <w:pPr>
        <w:pStyle w:val="Heading2"/>
      </w:pPr>
      <w:r>
        <w:rPr>
          <w:rFonts w:ascii="Arial" w:hAnsi="Arial" w:eastAsia="Arial"/>
          <w:b w:val="0"/>
          <w:color w:val="000000"/>
          <w:sz w:val="32"/>
        </w:rPr>
        <w:t>主治医への依頼文例</w:t>
      </w:r>
    </w:p>
    <w:p>
      <w:pPr>
        <w:spacing w:before="120" w:after="200"/>
        <w:ind w:left="504" w:right="504"/>
      </w:pPr>
      <w:r>
        <w:rPr>
          <w:rFonts w:ascii="Arial" w:hAnsi="Arial" w:eastAsia="Arial"/>
          <w:b w:val="0"/>
          <w:color w:val="000000"/>
          <w:sz w:val="22"/>
        </w:rPr>
        <w:t>自己破産手続で、浪費した時期の病状を医学的に説明する必要があります。法的な結論ではなく、診療記録に基づき、当時の躁状態、衝動性や判断力への影響、治療経過、今後必要な再発防止策について、診断書または意見書を作成していただくことは可能でしょうか。必要であれば、弁護士から質問事項をお渡しします。</w:t>
      </w:r>
    </w:p>
    <w:p>
      <w:pPr>
        <w:pStyle w:val="Heading1"/>
      </w:pPr>
      <w:r>
        <w:rPr>
          <w:rFonts w:ascii="Arial" w:hAnsi="Arial" w:eastAsia="Arial"/>
          <w:b w:val="0"/>
          <w:color w:val="000000"/>
          <w:sz w:val="40"/>
        </w:rPr>
        <w:t>6. 次の弁護士・法テラスへ伝える内容</w:t>
      </w:r>
    </w:p>
    <w:p>
      <w:r>
        <w:rPr>
          <w:rFonts w:ascii="Arial" w:hAnsi="Arial" w:eastAsia="Arial"/>
          <w:b w:val="0"/>
          <w:color w:val="000000"/>
          <w:sz w:val="22"/>
        </w:rPr>
        <w:t>一人暮らし、無職、障害年金2級で月約11万円、現在の現金・預貯金は約110万円です。双極性障害の躁状態と浪費時期が重なっている可能性があります。直近2年間の浪費額が大きいため、管財事件として裁量免責を目指せるか、診療記録に基づいて検討してほしいです。楽天カード、エポス、ライフカードが債務名義を取得済みです。法テラスの代理援助を正式に申し込めるか確認してください。</w:t>
      </w:r>
    </w:p>
    <w:p>
      <w:pPr>
        <w:pStyle w:val="Heading2"/>
      </w:pPr>
      <w:r>
        <w:rPr>
          <w:rFonts w:ascii="Arial" w:hAnsi="Arial" w:eastAsia="Arial"/>
          <w:b w:val="0"/>
          <w:color w:val="000000"/>
          <w:sz w:val="32"/>
        </w:rPr>
        <w:t>確認質問</w:t>
      </w:r>
    </w:p>
    <w:p>
      <w:pPr>
        <w:pStyle w:val="ListNumber"/>
        <w:spacing w:after="80" w:line="276" w:lineRule="auto"/>
        <w:ind w:left="720" w:hanging="360"/>
      </w:pPr>
      <w:r>
        <w:rPr>
          <w:rFonts w:ascii="Arial" w:hAnsi="Arial" w:eastAsia="Arial"/>
          <w:b w:val="0"/>
          <w:color w:val="000000"/>
          <w:sz w:val="22"/>
        </w:rPr>
        <w:t>現在の全資産を約110万円とした場合、法テラスの資力基準を満たすか。正式な代理援助申込みを提出できるか。</w:t>
      </w:r>
    </w:p>
    <w:p>
      <w:pPr>
        <w:pStyle w:val="ListNumber"/>
        <w:spacing w:after="80" w:line="276" w:lineRule="auto"/>
        <w:ind w:left="720" w:hanging="360"/>
      </w:pPr>
      <w:r>
        <w:rPr>
          <w:rFonts w:ascii="Arial" w:hAnsi="Arial" w:eastAsia="Arial"/>
          <w:b w:val="0"/>
          <w:color w:val="000000"/>
          <w:sz w:val="22"/>
        </w:rPr>
        <w:t>自己破産で裁量免責を目指す具体的な見通しと、免責不許可となるリスクはどの程度か。</w:t>
      </w:r>
    </w:p>
    <w:p>
      <w:pPr>
        <w:pStyle w:val="ListNumber"/>
        <w:spacing w:after="80" w:line="276" w:lineRule="auto"/>
        <w:ind w:left="720" w:hanging="360"/>
      </w:pPr>
      <w:r>
        <w:rPr>
          <w:rFonts w:ascii="Arial" w:hAnsi="Arial" w:eastAsia="Arial"/>
          <w:b w:val="0"/>
          <w:color w:val="000000"/>
          <w:sz w:val="22"/>
        </w:rPr>
        <w:t>主治医の既存診断書・カルテで足りるか。追加意見書が必要なら、弁護士から質問事項を作成できるか。</w:t>
      </w:r>
    </w:p>
    <w:p>
      <w:pPr>
        <w:pStyle w:val="ListNumber"/>
        <w:spacing w:after="80" w:line="276" w:lineRule="auto"/>
        <w:ind w:left="720" w:hanging="360"/>
      </w:pPr>
      <w:r>
        <w:rPr>
          <w:rFonts w:ascii="Arial" w:hAnsi="Arial" w:eastAsia="Arial"/>
          <w:b w:val="0"/>
          <w:color w:val="000000"/>
          <w:sz w:val="22"/>
        </w:rPr>
        <w:t>個人再生の場合、現在の確定債務総額、清算価値、最低弁済総額、月額、返済期間を具体的に計算してほしい。</w:t>
      </w:r>
    </w:p>
    <w:p>
      <w:pPr>
        <w:pStyle w:val="ListNumber"/>
        <w:spacing w:after="80" w:line="276" w:lineRule="auto"/>
        <w:ind w:left="720" w:hanging="360"/>
      </w:pPr>
      <w:r>
        <w:rPr>
          <w:rFonts w:ascii="Arial" w:hAnsi="Arial" w:eastAsia="Arial"/>
          <w:b w:val="0"/>
          <w:color w:val="000000"/>
          <w:sz w:val="22"/>
        </w:rPr>
        <w:t>障害年金月約11万円と家賃・医療費・生活費から、個人再生を3～5年履行できるか。</w:t>
      </w:r>
    </w:p>
    <w:p>
      <w:pPr>
        <w:pStyle w:val="ListNumber"/>
        <w:spacing w:after="80" w:line="276" w:lineRule="auto"/>
        <w:ind w:left="720" w:hanging="360"/>
      </w:pPr>
      <w:r>
        <w:rPr>
          <w:rFonts w:ascii="Arial" w:hAnsi="Arial" w:eastAsia="Arial"/>
          <w:b w:val="0"/>
          <w:color w:val="000000"/>
          <w:sz w:val="22"/>
        </w:rPr>
        <w:t>小規模個人再生で債権者不同意となる可能性、給与所得者等再生を利用できる可能性はあるか。</w:t>
      </w:r>
    </w:p>
    <w:p>
      <w:pPr>
        <w:pStyle w:val="ListNumber"/>
        <w:spacing w:after="80" w:line="276" w:lineRule="auto"/>
        <w:ind w:left="720" w:hanging="360"/>
      </w:pPr>
      <w:r>
        <w:rPr>
          <w:rFonts w:ascii="Arial" w:hAnsi="Arial" w:eastAsia="Arial"/>
          <w:b w:val="0"/>
          <w:color w:val="000000"/>
          <w:sz w:val="22"/>
        </w:rPr>
        <w:t>契約後いつ受任通知を発送し、いつまでに申立てる予定か。債務名義3件による差押えにどう対応するか。</w:t>
      </w:r>
    </w:p>
    <w:p>
      <w:pPr>
        <w:pStyle w:val="ListNumber"/>
        <w:spacing w:after="80" w:line="276" w:lineRule="auto"/>
        <w:ind w:left="720" w:hanging="360"/>
      </w:pPr>
      <w:r>
        <w:rPr>
          <w:rFonts w:ascii="Arial" w:hAnsi="Arial" w:eastAsia="Arial"/>
          <w:b w:val="0"/>
          <w:color w:val="000000"/>
          <w:sz w:val="22"/>
        </w:rPr>
        <w:t>自己破産・個人再生それぞれの費用総額、追加費用、変更時の精算を見積書で示してほしい。</w:t>
      </w:r>
    </w:p>
    <w:p>
      <w:pPr>
        <w:pStyle w:val="Heading1"/>
      </w:pPr>
      <w:r>
        <w:rPr>
          <w:rFonts w:ascii="Arial" w:hAnsi="Arial" w:eastAsia="Arial"/>
          <w:b w:val="0"/>
          <w:color w:val="000000"/>
          <w:sz w:val="40"/>
        </w:rPr>
        <w:t>7. 5月以降の約190万円の使途整理</w:t>
      </w:r>
    </w:p>
    <w:p>
      <w:r>
        <w:rPr>
          <w:rFonts w:ascii="Arial" w:hAnsi="Arial" w:eastAsia="Arial"/>
          <w:b w:val="0"/>
          <w:color w:val="000000"/>
          <w:sz w:val="22"/>
        </w:rPr>
        <w:t>全口座の5月以降の明細を取得し、次の区分で集計する。分からない支出は推測で埋めず、不明として弁護士へ相談する。</w:t>
      </w:r>
    </w:p>
    <w:p>
      <w:pPr>
        <w:pStyle w:val="ListBullet"/>
        <w:spacing w:after="80" w:line="276" w:lineRule="auto"/>
        <w:ind w:left="720" w:hanging="360"/>
      </w:pPr>
      <w:r>
        <w:rPr>
          <w:rFonts w:ascii="Arial" w:hAnsi="Arial" w:eastAsia="Arial"/>
          <w:b w:val="0"/>
          <w:color w:val="000000"/>
          <w:sz w:val="22"/>
        </w:rPr>
        <w:t>家賃・光熱費・通信費</w:t>
      </w:r>
    </w:p>
    <w:p>
      <w:pPr>
        <w:pStyle w:val="ListBullet"/>
        <w:spacing w:after="80" w:line="276" w:lineRule="auto"/>
        <w:ind w:left="720" w:hanging="360"/>
      </w:pPr>
      <w:r>
        <w:rPr>
          <w:rFonts w:ascii="Arial" w:hAnsi="Arial" w:eastAsia="Arial"/>
          <w:b w:val="0"/>
          <w:color w:val="000000"/>
          <w:sz w:val="22"/>
        </w:rPr>
        <w:t>医療費・薬代・通院交通費</w:t>
      </w:r>
    </w:p>
    <w:p>
      <w:pPr>
        <w:pStyle w:val="ListBullet"/>
        <w:spacing w:after="80" w:line="276" w:lineRule="auto"/>
        <w:ind w:left="720" w:hanging="360"/>
      </w:pPr>
      <w:r>
        <w:rPr>
          <w:rFonts w:ascii="Arial" w:hAnsi="Arial" w:eastAsia="Arial"/>
          <w:b w:val="0"/>
          <w:color w:val="000000"/>
          <w:sz w:val="22"/>
        </w:rPr>
        <w:t>食費・日用品など通常生活費</w:t>
      </w:r>
    </w:p>
    <w:p>
      <w:pPr>
        <w:pStyle w:val="ListBullet"/>
        <w:spacing w:after="80" w:line="276" w:lineRule="auto"/>
        <w:ind w:left="720" w:hanging="360"/>
      </w:pPr>
      <w:r>
        <w:rPr>
          <w:rFonts w:ascii="Arial" w:hAnsi="Arial" w:eastAsia="Arial"/>
          <w:b w:val="0"/>
          <w:color w:val="000000"/>
          <w:sz w:val="22"/>
        </w:rPr>
        <w:t>カード会社その他債権者への返済</w:t>
      </w:r>
    </w:p>
    <w:p>
      <w:pPr>
        <w:pStyle w:val="ListBullet"/>
        <w:spacing w:after="80" w:line="276" w:lineRule="auto"/>
        <w:ind w:left="720" w:hanging="360"/>
      </w:pPr>
      <w:r>
        <w:rPr>
          <w:rFonts w:ascii="Arial" w:hAnsi="Arial" w:eastAsia="Arial"/>
          <w:b w:val="0"/>
          <w:color w:val="000000"/>
          <w:sz w:val="22"/>
        </w:rPr>
        <w:t>買物、通販、ゲーム、趣味、外食など</w:t>
      </w:r>
    </w:p>
    <w:p>
      <w:pPr>
        <w:pStyle w:val="ListBullet"/>
        <w:spacing w:after="80" w:line="276" w:lineRule="auto"/>
        <w:ind w:left="720" w:hanging="360"/>
      </w:pPr>
      <w:r>
        <w:rPr>
          <w:rFonts w:ascii="Arial" w:hAnsi="Arial" w:eastAsia="Arial"/>
          <w:b w:val="0"/>
          <w:color w:val="000000"/>
          <w:sz w:val="22"/>
        </w:rPr>
        <w:t>現金引出しと、その後の具体的な使途</w:t>
      </w:r>
    </w:p>
    <w:p>
      <w:pPr>
        <w:pStyle w:val="ListBullet"/>
        <w:spacing w:after="80" w:line="276" w:lineRule="auto"/>
        <w:ind w:left="720" w:hanging="360"/>
      </w:pPr>
      <w:r>
        <w:rPr>
          <w:rFonts w:ascii="Arial" w:hAnsi="Arial" w:eastAsia="Arial"/>
          <w:b w:val="0"/>
          <w:color w:val="000000"/>
          <w:sz w:val="22"/>
        </w:rPr>
        <w:t>家族・知人への送金や贈与</w:t>
      </w:r>
    </w:p>
    <w:p>
      <w:pPr>
        <w:pStyle w:val="ListBullet"/>
        <w:spacing w:after="80" w:line="276" w:lineRule="auto"/>
        <w:ind w:left="720" w:hanging="360"/>
      </w:pPr>
      <w:r>
        <w:rPr>
          <w:rFonts w:ascii="Arial" w:hAnsi="Arial" w:eastAsia="Arial"/>
          <w:b w:val="0"/>
          <w:color w:val="000000"/>
          <w:sz w:val="22"/>
        </w:rPr>
        <w:t>暗号資産、電子マネー、証券口座等への移動</w:t>
      </w:r>
    </w:p>
    <w:p>
      <w:pPr>
        <w:pStyle w:val="ListBullet"/>
        <w:spacing w:after="80" w:line="276" w:lineRule="auto"/>
        <w:ind w:left="720" w:hanging="360"/>
      </w:pPr>
      <w:r>
        <w:rPr>
          <w:rFonts w:ascii="Arial" w:hAnsi="Arial" w:eastAsia="Arial"/>
          <w:b w:val="0"/>
          <w:color w:val="000000"/>
          <w:sz w:val="22"/>
        </w:rPr>
        <w:t>現在も手元にある購入物と、おおよその売却価値</w:t>
      </w:r>
    </w:p>
    <w:p>
      <w:pPr>
        <w:pStyle w:val="Heading1"/>
      </w:pPr>
      <w:r>
        <w:rPr>
          <w:rFonts w:ascii="Arial" w:hAnsi="Arial" w:eastAsia="Arial"/>
          <w:b w:val="0"/>
          <w:color w:val="000000"/>
          <w:sz w:val="40"/>
        </w:rPr>
        <w:t>8. 今後の注意事項</w:t>
      </w:r>
    </w:p>
    <w:p>
      <w:pPr>
        <w:pStyle w:val="ListBullet"/>
        <w:spacing w:after="80" w:line="276" w:lineRule="auto"/>
        <w:ind w:left="720" w:hanging="360"/>
      </w:pPr>
      <w:r>
        <w:rPr>
          <w:rFonts w:ascii="Arial" w:hAnsi="Arial" w:eastAsia="Arial"/>
          <w:b w:val="0"/>
          <w:color w:val="000000"/>
          <w:sz w:val="22"/>
        </w:rPr>
        <w:t>新たな借入れやカード利用をしない。</w:t>
      </w:r>
    </w:p>
    <w:p>
      <w:pPr>
        <w:pStyle w:val="ListBullet"/>
        <w:spacing w:after="80" w:line="276" w:lineRule="auto"/>
        <w:ind w:left="720" w:hanging="360"/>
      </w:pPr>
      <w:r>
        <w:rPr>
          <w:rFonts w:ascii="Arial" w:hAnsi="Arial" w:eastAsia="Arial"/>
          <w:b w:val="0"/>
          <w:color w:val="000000"/>
          <w:sz w:val="22"/>
        </w:rPr>
        <w:t>家族・知人への送金、財産の名義変更、多額の現金引出しをしない。</w:t>
      </w:r>
    </w:p>
    <w:p>
      <w:pPr>
        <w:pStyle w:val="ListBullet"/>
        <w:spacing w:after="80" w:line="276" w:lineRule="auto"/>
        <w:ind w:left="720" w:hanging="360"/>
      </w:pPr>
      <w:r>
        <w:rPr>
          <w:rFonts w:ascii="Arial" w:hAnsi="Arial" w:eastAsia="Arial"/>
          <w:b w:val="0"/>
          <w:color w:val="000000"/>
          <w:sz w:val="22"/>
        </w:rPr>
        <w:t>楽天・エポス・ライフカードなど、特定の債権者だけに返済しない。</w:t>
      </w:r>
    </w:p>
    <w:p>
      <w:pPr>
        <w:pStyle w:val="ListBullet"/>
        <w:spacing w:after="80" w:line="276" w:lineRule="auto"/>
        <w:ind w:left="720" w:hanging="360"/>
      </w:pPr>
      <w:r>
        <w:rPr>
          <w:rFonts w:ascii="Arial" w:hAnsi="Arial" w:eastAsia="Arial"/>
          <w:b w:val="0"/>
          <w:color w:val="000000"/>
          <w:sz w:val="22"/>
        </w:rPr>
        <w:t>通帳、カード明細、通販履歴、領収書、診療記録を保存する。</w:t>
      </w:r>
    </w:p>
    <w:p>
      <w:pPr>
        <w:pStyle w:val="ListBullet"/>
        <w:spacing w:after="80" w:line="276" w:lineRule="auto"/>
        <w:ind w:left="720" w:hanging="360"/>
      </w:pPr>
      <w:r>
        <w:rPr>
          <w:rFonts w:ascii="Arial" w:hAnsi="Arial" w:eastAsia="Arial"/>
          <w:b w:val="0"/>
          <w:color w:val="000000"/>
          <w:sz w:val="22"/>
        </w:rPr>
        <w:t>家計表を毎月作成し、通常生活費も記録する。</w:t>
      </w:r>
    </w:p>
    <w:p>
      <w:pPr>
        <w:pStyle w:val="ListBullet"/>
        <w:spacing w:after="80" w:line="276" w:lineRule="auto"/>
        <w:ind w:left="720" w:hanging="360"/>
      </w:pPr>
      <w:r>
        <w:rPr>
          <w:rFonts w:ascii="Arial" w:hAnsi="Arial" w:eastAsia="Arial"/>
          <w:b w:val="0"/>
          <w:color w:val="000000"/>
          <w:sz w:val="22"/>
        </w:rPr>
        <w:t>通院・服薬を継続し、カード利用停止や金銭管理支援など再発防止策を相談する。</w:t>
      </w:r>
    </w:p>
    <w:p>
      <w:pPr>
        <w:pStyle w:val="ListBullet"/>
        <w:spacing w:after="80" w:line="276" w:lineRule="auto"/>
        <w:ind w:left="720" w:hanging="360"/>
      </w:pPr>
      <w:r>
        <w:rPr>
          <w:rFonts w:ascii="Arial" w:hAnsi="Arial" w:eastAsia="Arial"/>
          <w:b w:val="0"/>
          <w:color w:val="000000"/>
          <w:sz w:val="22"/>
        </w:rPr>
        <w:t>弁護士、法テラス、裁判所、破産管財人に事実を隠さず、分からないことは分からないと説明する。</w:t>
      </w:r>
    </w:p>
    <w:p>
      <w:pPr>
        <w:pStyle w:val="ListBullet"/>
        <w:spacing w:after="80" w:line="276" w:lineRule="auto"/>
        <w:ind w:left="720" w:hanging="360"/>
      </w:pPr>
      <w:r>
        <w:rPr>
          <w:rFonts w:ascii="Arial" w:hAnsi="Arial" w:eastAsia="Arial"/>
          <w:b w:val="0"/>
          <w:color w:val="000000"/>
          <w:sz w:val="22"/>
        </w:rPr>
        <w:t>私費契約・90万円の支払い前に、法テラス利用とセカンドオピニオンを検討する。</w:t>
      </w:r>
    </w:p>
    <w:p>
      <w:pPr>
        <w:pStyle w:val="Heading1"/>
      </w:pPr>
      <w:r>
        <w:rPr>
          <w:rFonts w:ascii="Arial" w:hAnsi="Arial" w:eastAsia="Arial"/>
          <w:b w:val="0"/>
          <w:color w:val="000000"/>
          <w:sz w:val="40"/>
        </w:rPr>
        <w:t>9. 参考情報</w:t>
      </w:r>
    </w:p>
    <w:p>
      <w:pPr>
        <w:pStyle w:val="ListBullet"/>
        <w:spacing w:after="80" w:line="276" w:lineRule="auto"/>
        <w:ind w:left="720" w:hanging="360"/>
      </w:pPr>
      <w:r>
        <w:rPr>
          <w:rFonts w:ascii="Arial" w:hAnsi="Arial" w:eastAsia="Arial"/>
          <w:b w:val="0"/>
          <w:color w:val="000000"/>
          <w:sz w:val="22"/>
        </w:rPr>
        <w:t>法テラス『弁護士等費用の立替制度のご利用の流れ』 https://www.houterasu.or.jp/site/soudan-tatekae/goriyou.html</w:t>
      </w:r>
    </w:p>
    <w:p>
      <w:pPr>
        <w:pStyle w:val="ListBullet"/>
        <w:spacing w:after="80" w:line="276" w:lineRule="auto"/>
        <w:ind w:left="720" w:hanging="360"/>
      </w:pPr>
      <w:r>
        <w:rPr>
          <w:rFonts w:ascii="Arial" w:hAnsi="Arial" w:eastAsia="Arial"/>
          <w:b w:val="0"/>
          <w:color w:val="000000"/>
          <w:sz w:val="22"/>
        </w:rPr>
        <w:t>法テラス『民事法律扶助業務』 https://www.houterasu.or.jp/site/bengoshitou-fujo/index.html</w:t>
      </w:r>
    </w:p>
    <w:p>
      <w:pPr>
        <w:pStyle w:val="ListBullet"/>
        <w:spacing w:after="80" w:line="276" w:lineRule="auto"/>
        <w:ind w:left="720" w:hanging="360"/>
      </w:pPr>
      <w:r>
        <w:rPr>
          <w:rFonts w:ascii="Arial" w:hAnsi="Arial" w:eastAsia="Arial"/>
          <w:b w:val="0"/>
          <w:color w:val="000000"/>
          <w:sz w:val="22"/>
        </w:rPr>
        <w:t>裁判所『個人再生』 https://www.courts.go.jp/saiban/syurui/syurui_minzi/minzi_25_18/index.html</w:t>
      </w:r>
    </w:p>
    <w:p>
      <w:pPr>
        <w:pStyle w:val="ListBullet"/>
        <w:spacing w:after="80" w:line="276" w:lineRule="auto"/>
        <w:ind w:left="720" w:hanging="360"/>
      </w:pPr>
      <w:r>
        <w:rPr>
          <w:rFonts w:ascii="Arial" w:hAnsi="Arial" w:eastAsia="Arial"/>
          <w:b w:val="0"/>
          <w:color w:val="000000"/>
          <w:sz w:val="22"/>
        </w:rPr>
        <w:t>大阪地方裁判所『倒産部（破産・個人再生Q&amp;A）』 https://www.courts.go.jp/osaka/saiban/minjibu6/index.html</w:t>
      </w:r>
    </w:p>
    <w:p>
      <w:pPr>
        <w:pStyle w:val="ListBullet"/>
        <w:spacing w:after="80" w:line="276" w:lineRule="auto"/>
        <w:ind w:left="720" w:hanging="360"/>
      </w:pPr>
      <w:r>
        <w:rPr>
          <w:rFonts w:ascii="Arial" w:hAnsi="Arial" w:eastAsia="Arial"/>
          <w:b w:val="0"/>
          <w:color w:val="000000"/>
          <w:sz w:val="22"/>
        </w:rPr>
        <w:t>千葉県弁護士会『個人の債務整理に関する弁護士費用の目安』 https://www.chiba-ben.or.jp/soudan/consultation/syakkin_hiyou.html</w:t>
      </w:r>
    </w:p>
    <w:p>
      <w:pPr>
        <w:spacing w:before="240"/>
      </w:pPr>
      <w:r>
        <w:rPr>
          <w:rFonts w:ascii="Arial" w:hAnsi="Arial" w:eastAsia="Arial"/>
          <w:b w:val="0"/>
          <w:color w:val="555555"/>
          <w:sz w:val="18"/>
        </w:rPr>
        <w:t>注意：本書面は相談内容の整理用であり、個別事件の法的結論を確定するものではありません。最終判断は、資料を確認した弁護士と管轄裁判所によります。</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債務整理・法テラス相談用整理書面</dc:title>
  <dc:subject>自己破産、個人再生、双極性障害に関する相談整理</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