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  <w:jc w:val="left"/>
      </w:pPr>
      <w:r>
        <w:rPr>
          <w:rFonts w:ascii="Microsoft JhengHei" w:hAnsi="Microsoft JhengHei" w:eastAsia="Microsoft JhengHei"/>
          <w:b/>
          <w:color w:val="0B2545"/>
          <w:sz w:val="48"/>
        </w:rPr>
        <w:t>長庚大學與 SIM 合作簡報</w:t>
      </w:r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color w:val="545D57"/>
          <w:sz w:val="26"/>
        </w:rPr>
        <w:t>先完成海外教學中心申請，再設計學生銜接路徑</w:t>
      </w:r>
    </w:p>
    <w:p>
      <w:pPr>
        <w:spacing w:before="0" w:after="360" w:line="264" w:lineRule="auto"/>
      </w:pPr>
      <w:r>
        <w:rPr>
          <w:rFonts w:ascii="Microsoft JhengHei" w:hAnsi="Microsoft JhengHei" w:eastAsia="Microsoft JhengHei"/>
          <w:b w:val="0"/>
          <w:color w:val="545D57"/>
          <w:sz w:val="21"/>
        </w:rPr>
        <w:t>供長庚大學教學與行政主管研議使用</w:t>
      </w:r>
    </w:p>
    <w:tbl>
      <w:tblPr>
        <w:tblStyle w:val="TableGrid"/>
        <w:tblW w:type="dxa" w:w="360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</w:tblGrid>
      <w:tr>
        <w:tc>
          <w:tcPr>
            <w:tcW w:type="dxa" w:w="3600"/>
            <w:tcMar>
              <w:top w:w="120" w:type="dxa"/>
              <w:bottom w:w="120" w:type="dxa"/>
              <w:start w:w="180" w:type="dxa"/>
              <w:end w:w="180" w:type="dxa"/>
            </w:tcMar>
            <w:shd w:fill="2D6F73"/>
          </w:tcPr>
          <w:p>
            <w:pPr>
              <w:spacing w:before="0" w:after="0" w:line="240" w:lineRule="auto"/>
              <w:jc w:val="center"/>
            </w:pPr>
            <w:hyperlink r:id="rId9">
              <w:r>
                <w:rPr>
                  <w:rFonts w:ascii="Microsoft JhengHei" w:hAnsi="Microsoft JhengHei" w:eastAsia="Microsoft JhengHei"/>
                  <w:color w:val="FFFFFF"/>
                  <w:u w:val="none"/>
                  <w:sz w:val="23"/>
                  <w:b/>
                </w:rPr>
                <w:t>開啟問答助手</w:t>
              </w:r>
            </w:hyperlink>
          </w:p>
        </w:tc>
      </w:tr>
    </w:tbl>
    <w:p>
      <w:pPr>
        <w:spacing w:before="0" w:after="40" w:line="264" w:lineRule="auto"/>
      </w:pPr>
    </w:p>
    <w:p>
      <w:pPr>
        <w:spacing w:before="0" w:after="280" w:line="264" w:lineRule="auto"/>
      </w:pPr>
      <w:r>
        <w:rPr>
          <w:rFonts w:ascii="Microsoft JhengHei" w:hAnsi="Microsoft JhengHei" w:eastAsia="Microsoft JhengHei"/>
          <w:b w:val="0"/>
          <w:color w:val="545D57"/>
          <w:sz w:val="19"/>
        </w:rPr>
        <w:t>本簡報的公開問答助手</w:t>
      </w:r>
    </w:p>
    <w:p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目錄</w:t>
      </w:r>
    </w:p>
    <w:p>
      <w:pPr>
        <w:spacing w:before="0" w:after="160" w:line="264" w:lineRule="auto"/>
      </w:pPr>
      <w:r>
        <w:rPr>
          <w:rFonts w:ascii="Microsoft JhengHei" w:hAnsi="Microsoft JhengHei" w:eastAsia="Microsoft JhengHei"/>
          <w:b w:val="0"/>
          <w:color w:val="545D57"/>
          <w:sz w:val="21"/>
        </w:rPr>
        <w:t>點選下列項目可跳至對應章節。</w:t>
      </w:r>
    </w:p>
    <w:p>
      <w:pPr>
        <w:spacing w:before="0" w:after="60" w:line="264" w:lineRule="auto"/>
        <w:ind w:left="259"/>
      </w:pPr>
      <w:hyperlink w:anchor="toc_dashboard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執行摘要儀表板</w:t>
        </w:r>
      </w:hyperlink>
    </w:p>
    <w:p>
      <w:pPr>
        <w:spacing w:before="0" w:after="60" w:line="264" w:lineRule="auto"/>
        <w:ind w:left="259"/>
      </w:pPr>
      <w:hyperlink w:anchor="toc_architecture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合作架構</w:t>
        </w:r>
      </w:hyperlink>
    </w:p>
    <w:p>
      <w:pPr>
        <w:spacing w:before="0" w:after="60" w:line="264" w:lineRule="auto"/>
        <w:ind w:left="259"/>
      </w:pPr>
      <w:hyperlink w:anchor="toc_documents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文件地圖</w:t>
        </w:r>
      </w:hyperlink>
    </w:p>
    <w:p>
      <w:pPr>
        <w:spacing w:before="0" w:after="60" w:line="264" w:lineRule="auto"/>
        <w:ind w:left="259"/>
      </w:pPr>
      <w:hyperlink w:anchor="toc_timeline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推動時程</w:t>
        </w:r>
      </w:hyperlink>
    </w:p>
    <w:p>
      <w:pPr>
        <w:spacing w:before="0" w:after="60" w:line="264" w:lineRule="auto"/>
        <w:ind w:left="259"/>
      </w:pPr>
      <w:hyperlink w:anchor="toc_workstreams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推動小組分工</w:t>
        </w:r>
      </w:hyperlink>
    </w:p>
    <w:p>
      <w:pPr>
        <w:spacing w:before="0" w:after="60" w:line="264" w:lineRule="auto"/>
        <w:ind w:left="259"/>
      </w:pPr>
      <w:hyperlink w:anchor="toc_modules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DMS 課程盤點</w:t>
        </w:r>
      </w:hyperlink>
    </w:p>
    <w:p>
      <w:pPr>
        <w:spacing w:before="0" w:after="60" w:line="264" w:lineRule="auto"/>
        <w:ind w:left="259"/>
      </w:pPr>
      <w:hyperlink w:anchor="toc_scenarios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情境比較</w:t>
        </w:r>
      </w:hyperlink>
    </w:p>
    <w:p>
      <w:pPr>
        <w:spacing w:before="0" w:after="60" w:line="264" w:lineRule="auto"/>
        <w:ind w:left="259"/>
      </w:pPr>
      <w:hyperlink w:anchor="toc_risks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風險登錄</w:t>
        </w:r>
      </w:hyperlink>
    </w:p>
    <w:p>
      <w:pPr>
        <w:spacing w:before="0" w:after="60" w:line="264" w:lineRule="auto"/>
        <w:ind w:left="259"/>
      </w:pPr>
      <w:hyperlink w:anchor="toc_questions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待釐清事項</w:t>
        </w:r>
      </w:hyperlink>
    </w:p>
    <w:p>
      <w:pPr>
        <w:spacing w:before="0" w:after="60" w:line="264" w:lineRule="auto"/>
        <w:ind w:left="259"/>
      </w:pPr>
      <w:hyperlink w:anchor="toc_agenda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決策議程</w:t>
        </w:r>
      </w:hyperlink>
    </w:p>
    <w:p>
      <w:pPr>
        <w:spacing w:before="0" w:after="60" w:line="264" w:lineRule="auto"/>
        <w:ind w:left="259"/>
      </w:pPr>
      <w:hyperlink w:anchor="toc_sources">
        <w:r>
          <w:rPr>
            <w:rFonts w:ascii="Microsoft JhengHei" w:hAnsi="Microsoft JhengHei" w:eastAsia="Microsoft JhengHei"/>
            <w:color w:val="2E74B5"/>
            <w:u w:val="single"/>
            <w:sz w:val="22"/>
          </w:rPr>
          <w:t>來源註記</w:t>
        </w:r>
      </w:hyperlink>
    </w:p>
    <w:p>
      <w:pPr>
        <w:spacing w:before="0" w:after="240" w:line="264" w:lineRule="auto"/>
      </w:pPr>
    </w:p>
    <w:p>
      <w:bookmarkStart w:id="1" w:name="toc_dashboard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執行摘要儀表板</w:t>
      </w:r>
      <w:bookmarkEnd w:id="1"/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目前階段</w:t>
      </w:r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可行性評估、OTC 申請準備與台灣招生核准路徑確認階段。不得視為已正式合作或已可公開招生。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建議下一步決策</w:t>
      </w:r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核准成立 CGU-SIM 推動小組，同步處理 SIM OTC 審查與台灣教育部獨立招生核准兩條路徑；未同時取得必要核准前，不對外啟動招生訊息。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關鍵指標</w:t>
      </w:r>
    </w:p>
    <w:tbl>
      <w:tblPr>
        <w:tblStyle w:val="TableGrid"/>
        <w:tblW w:type="dxa" w:w="924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1700"/>
        <w:gridCol w:w="3950"/>
        <w:gridCol w:w="1740"/>
      </w:tblGrid>
      <w:tr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指標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值</w:t>
            </w:r>
          </w:p>
        </w:tc>
        <w:tc>
          <w:tcPr>
            <w:tcW w:type="dxa" w:w="39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說明</w:t>
            </w:r>
          </w:p>
        </w:tc>
        <w:tc>
          <w:tcPr>
            <w:tcW w:type="dxa" w:w="174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狀態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近期關卡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NDA 與附件審閱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Annex 1-3 需 NDA 簽署後 SIM 才會提供。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SIM 文件已確認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法規關卡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教育部核准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若以不同學費、平行學測／分科路徑招生，獨立招生規定需報教育部核定後實施。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台灣法規已確認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初始標的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DMS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DMS 為 15 門課、630 接觸學時，申請表列有 6 門與 9 門選項。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SIM 文件已確認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師資下限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3-5 位教師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每位教師最多兩門；6 門至少 3 位，9 門至少 5 位。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SIM 文件已確認</w:t>
            </w:r>
          </w:p>
        </w:tc>
      </w:tr>
      <w:tr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長庚學位定位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選配回流路徑</w:t>
            </w:r>
          </w:p>
        </w:tc>
        <w:tc>
          <w:tcPr>
            <w:tcW w:type="dxa" w:w="39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是否可授予長庚學位，取決於學分、修業時間與校內規範解釋。</w:t>
            </w:r>
          </w:p>
        </w:tc>
        <w:tc>
          <w:tcPr>
            <w:tcW w:type="dxa" w:w="174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待長庚確認</w:t>
            </w:r>
          </w:p>
        </w:tc>
      </w:tr>
    </w:tbl>
    <w:p>
      <w:pPr>
        <w:spacing w:before="0" w:after="160" w:line="264" w:lineRule="auto"/>
      </w:pP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前五項風險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教育部可能不核准獨立招生方案。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長庚／台灣學分或修業要求可能無法支撐簡單雙學位敘事。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赴新加坡階段學籍可能需休學或退學。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NDA 不得公開宣傳條款限制招生溝通。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新加坡法、專屬管轄與 PDPA 可能需法務升級處理。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近期行動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50"/>
        <w:gridCol w:w="1850"/>
        <w:gridCol w:w="1600"/>
        <w:gridCol w:w="2860"/>
      </w:tblGrid>
      <w:tr>
        <w:tc>
          <w:tcPr>
            <w:tcW w:type="dxa" w:w="30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行動</w:t>
            </w:r>
          </w:p>
        </w:tc>
        <w:tc>
          <w:tcPr>
            <w:tcW w:type="dxa" w:w="18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權責單位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期限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前置條件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成立推動小組並指定各工作流負責人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專案督導或指定主管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啟動階段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主管授權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確認本案是否須以獨立招生向教育部申請核准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招生／教務處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政策定義階段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大學法第 24 條與長庚招生規定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送法務審閱 NDA 並確認簽署權限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法務／國際事務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法務關卡階段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NDA 範本與校內授權規定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請教務處釐清學分、修業時間、學籍與 16+2 處理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教務處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教務規則階段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6 月 9 日會談事實與 DMS 接觸學時資料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盤點 6 門與 9 門 DMS 情境之英語授課師資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學術負責人／師資盤點負責人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申請準備階段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Teaching Profile Form、CV、證書、成績單</w:t>
            </w:r>
          </w:p>
        </w:tc>
      </w:tr>
      <w:tr>
        <w:tc>
          <w:tcPr>
            <w:tcW w:type="dxa" w:w="3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準備 NDA 後提交 SIM 之問題清單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SIM 聯繫窗口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SIM 釐清階段</w:t>
            </w:r>
          </w:p>
        </w:tc>
        <w:tc>
          <w:tcPr>
            <w:tcW w:type="dxa" w:w="2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法務同意接收附件</w:t>
            </w:r>
          </w:p>
        </w:tc>
      </w:tr>
    </w:tbl>
    <w:p>
      <w:pPr>
        <w:spacing w:before="0" w:after="160" w:line="264" w:lineRule="auto"/>
      </w:pPr>
    </w:p>
    <w:p>
      <w:r>
        <w:br w:type="page"/>
      </w:r>
    </w:p>
    <w:p>
      <w:bookmarkStart w:id="2" w:name="toc_architecture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合作架構</w:t>
      </w:r>
      <w:bookmarkEnd w:id="2"/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長庚應把 OTC 申請與台灣招生核准視為平行基礎工程；學生路徑與長庚學位設計，需待教務、法務、師資、SIM 與教育部條件確認後再上架。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基礎層：SIM 海外教學中心</w:t>
      </w:r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長庚申請在台灣依 SIM 品質規範開授 SIM 文憑課程模組。</w:t>
      </w:r>
    </w:p>
    <w:p>
      <w:pPr>
        <w:pStyle w:val="Heading3"/>
        <w:spacing w:before="160" w:after="80" w:line="264" w:lineRule="auto"/>
      </w:pPr>
      <w:r>
        <w:rPr>
          <w:rFonts w:ascii="Microsoft JhengHei" w:hAnsi="Microsoft JhengHei" w:eastAsia="Microsoft JhengHei"/>
          <w:b/>
          <w:color w:val="1F4D78"/>
          <w:sz w:val="24"/>
        </w:rPr>
        <w:t>已確認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需提交 OTC Application Form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SIM 審查並可能進行 onsite audit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SIM 核准後 180 日內需完成正式合約簽署</w:t>
      </w:r>
    </w:p>
    <w:p>
      <w:pPr>
        <w:pStyle w:val="Heading3"/>
        <w:spacing w:before="160" w:after="80" w:line="264" w:lineRule="auto"/>
      </w:pPr>
      <w:r>
        <w:rPr>
          <w:rFonts w:ascii="Microsoft JhengHei" w:hAnsi="Microsoft JhengHei" w:eastAsia="Microsoft JhengHei"/>
          <w:b/>
          <w:color w:val="1F4D78"/>
          <w:sz w:val="24"/>
        </w:rPr>
        <w:t>待釐清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Annex 1-3 的實際營運條件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費用與收入分潤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完成首屆後認證所需最低班級人數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策略層：招生與學生銜接路徑</w:t>
      </w:r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長庚可能以獨立招生招收學生，由長庚學籍起步，再銜接 SIM 新加坡及合作大學學士課程。</w:t>
      </w:r>
    </w:p>
    <w:p>
      <w:pPr>
        <w:pStyle w:val="Heading3"/>
        <w:spacing w:before="160" w:after="80" w:line="264" w:lineRule="auto"/>
      </w:pPr>
      <w:r>
        <w:rPr>
          <w:rFonts w:ascii="Microsoft JhengHei" w:hAnsi="Microsoft JhengHei" w:eastAsia="Microsoft JhengHei"/>
          <w:b/>
          <w:color w:val="1F4D78"/>
          <w:sz w:val="24"/>
        </w:rPr>
        <w:t>已確認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6 月 9 日會談支持長庚招生與 SIM 加發 offer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學生初期為長庚註冊學生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若平行於學測／分科既有路徑且學費不同，需另設合規招生規則</w:t>
      </w:r>
    </w:p>
    <w:p>
      <w:pPr>
        <w:pStyle w:val="Heading3"/>
        <w:spacing w:before="160" w:after="80" w:line="264" w:lineRule="auto"/>
      </w:pPr>
      <w:r>
        <w:rPr>
          <w:rFonts w:ascii="Microsoft JhengHei" w:hAnsi="Microsoft JhengHei" w:eastAsia="Microsoft JhengHei"/>
          <w:b/>
          <w:color w:val="1F4D78"/>
          <w:sz w:val="24"/>
        </w:rPr>
        <w:t>待釐清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教育部是否核准獨立招生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赴新加坡階段之學籍處理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長庚學位的學分／時間計算規則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取得 SIM 與教育部必要核准前可否公開招生宣傳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法規層：台灣招生核准</w:t>
      </w:r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因本案學生將平行既有入學管道且學費不同，獨立招生核准應視為可否推動之必要條件。</w:t>
      </w:r>
    </w:p>
    <w:p>
      <w:pPr>
        <w:pStyle w:val="Heading3"/>
        <w:spacing w:before="160" w:after="80" w:line="264" w:lineRule="auto"/>
      </w:pPr>
      <w:r>
        <w:rPr>
          <w:rFonts w:ascii="Microsoft JhengHei" w:hAnsi="Microsoft JhengHei" w:eastAsia="Microsoft JhengHei"/>
          <w:b/>
          <w:color w:val="1F4D78"/>
          <w:sz w:val="24"/>
        </w:rPr>
        <w:t>已確認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大學法第 24 條規定，大學招生規定由大學擬訂，報教育部核定後實施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即使 SIM 審查進行中，教育部若不核准招生方案，學生招募型合作仍無法啟動</w:t>
      </w:r>
    </w:p>
    <w:p>
      <w:pPr>
        <w:pStyle w:val="Heading3"/>
        <w:spacing w:before="160" w:after="80" w:line="264" w:lineRule="auto"/>
      </w:pPr>
      <w:r>
        <w:rPr>
          <w:rFonts w:ascii="Microsoft JhengHei" w:hAnsi="Microsoft JhengHei" w:eastAsia="Microsoft JhengHei"/>
          <w:b/>
          <w:color w:val="1F4D78"/>
          <w:sz w:val="24"/>
        </w:rPr>
        <w:t>待釐清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應採專案、系所／學程獨立招生規定，或其他教育部可接受機制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學費、名額、學籍、SIM offer 與赴新加坡銜接應如何寫入申請</w:t>
      </w:r>
    </w:p>
    <w:p>
      <w:bookmarkStart w:id="3" w:name="toc_documents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文件地圖</w:t>
      </w:r>
      <w:bookmarkEnd w:id="3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50"/>
        <w:gridCol w:w="2850"/>
        <w:gridCol w:w="1350"/>
        <w:gridCol w:w="1510"/>
      </w:tblGrid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文件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用途</w:t>
            </w:r>
          </w:p>
        </w:tc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行動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權責單位</w:t>
            </w:r>
          </w:p>
        </w:tc>
        <w:tc>
          <w:tcPr>
            <w:tcW w:type="dxa" w:w="15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前置條件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Diploma_Business OTC Application Guide_11Sep2025.docx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OTC 流程依據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轉化為長庚內部關卡計畫，NDA 後索取 Annex。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聯繫窗口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NDA 簽署後方可取得附件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Application Form_10Nov25.docx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正式 OTC 申請文件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彙整法人資料、授課計畫、師資、場地、招生與預估人數等佐證。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營運負責人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簽署權限、課程範圍、師資盤點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大學法第 24 條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招生核准依據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確認獨立招生、學費差異、招生名額、學籍揭露與教育部核定路徑。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招生／教務處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長庚招生設計與教育部解釋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Course info_Diploma in Management Studies.pdf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DMS 課程事實來源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用於 15 個月、15 門課與接觸學時之課程銜接。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學術負責人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確認最終 6/9 門課序列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Academic Staff Teaching Profile Form- 10162025.xlsx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師資審查佐證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收齊教師資料、CV、證書、成績單、英語授課能力與模組分配。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師資盤點負責人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教師提名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NDA 範本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法務關卡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審閱新加坡法、PDPA、不得公開宣傳、七年保密與簽署資訊。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法務負責人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核定授權簽署人</w:t>
            </w:r>
          </w:p>
        </w:tc>
      </w:tr>
      <w:tr>
        <w:tc>
          <w:tcPr>
            <w:tcW w:type="dxa" w:w="2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前版 AI 草稿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僅作綜整參考</w:t>
            </w:r>
          </w:p>
        </w:tc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可參考敘事架構；未經原始來源交叉確認者不得視為事實。</w:t>
            </w:r>
          </w:p>
        </w:tc>
        <w:tc>
          <w:tcPr>
            <w:tcW w:type="dxa" w:w="13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專案負責人</w:t>
            </w:r>
          </w:p>
        </w:tc>
        <w:tc>
          <w:tcPr>
            <w:tcW w:type="dxa" w:w="15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6 月 9 日會談、SIM 文件與法規來源</w:t>
            </w:r>
          </w:p>
        </w:tc>
      </w:tr>
    </w:tbl>
    <w:p>
      <w:pPr>
        <w:spacing w:before="0" w:after="160" w:line="264" w:lineRule="auto"/>
      </w:pPr>
    </w:p>
    <w:p>
      <w:bookmarkStart w:id="4" w:name="toc_timeline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推動時程</w:t>
      </w:r>
      <w:bookmarkEnd w:id="4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400"/>
        <w:gridCol w:w="1550"/>
        <w:gridCol w:w="2700"/>
        <w:gridCol w:w="1810"/>
      </w:tblGrid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階段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時程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權責單位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產出</w:t>
            </w:r>
          </w:p>
        </w:tc>
        <w:tc>
          <w:tcPr>
            <w:tcW w:type="dxa" w:w="18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關卡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0 階段：校內對齊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啟動階段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專案督導／專案負責人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推動小組任務書、範圍、權責與決策紀錄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主管核准可行性與申請準備階段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1 階段：法務與政策定義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對外承諾前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法務／教務處／招生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NDA 審閱路徑、教育部招生核准路徑、宣傳邊界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長庚確認本案為 SIM 與教育部雙關卡專案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2 階段：SIM 釐清與教育部招生設計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初步授權後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聯繫／招生負責人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待釐清 memo 與獨立招生申請概念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與教育部關鍵可行性問題有可答覆方向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3 階段：佐證包與師資建置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申請準備階段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營運／師資／學術負責人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OTC 佐證包、師資表件、課程銜接、招生理由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送 SIM 或教育部前完成校內品質審查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4 階段：平行外部審查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依主管機關與 SIM 時程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聯繫／招生負責人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審查、audit 準備、場地證明、教育部招生申請與補件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與教育部皆核准，或明確要求改善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5 階段：正式合約與開辦許可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雙核准後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法務／簽署人／招生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完成必要方簽署之正式協議與核准版招生諮詢條件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未同時取得 SIM 核准與教育部招生許可前不得實施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6 階段：開辦前準備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核准後開辦窗口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招生與營運負責人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核准版諮詢話術、課表、教室與考務作業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宣傳、教務與招生核准全部到位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第 7 階段：首屆授課與檢核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開辦後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Academic Head／行政窗口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授課文件、首屆後認證、年度進展檢討</w:t>
            </w:r>
          </w:p>
        </w:tc>
        <w:tc>
          <w:tcPr>
            <w:tcW w:type="dxa" w:w="18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認證與年度 review</w:t>
            </w:r>
          </w:p>
        </w:tc>
      </w:tr>
    </w:tbl>
    <w:p>
      <w:pPr>
        <w:spacing w:before="0" w:after="160" w:line="264" w:lineRule="auto"/>
      </w:pPr>
    </w:p>
    <w:p>
      <w:bookmarkStart w:id="5" w:name="toc_workstreams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推動小組分工</w:t>
      </w:r>
      <w:bookmarkEnd w:id="5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750"/>
        <w:gridCol w:w="2750"/>
        <w:gridCol w:w="2050"/>
        <w:gridCol w:w="1260"/>
      </w:tblGrid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工作流</w:t>
            </w:r>
          </w:p>
        </w:tc>
        <w:tc>
          <w:tcPr>
            <w:tcW w:type="dxa" w:w="17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權責單位</w:t>
            </w:r>
          </w:p>
        </w:tc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產出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決策權責</w:t>
            </w:r>
          </w:p>
        </w:tc>
        <w:tc>
          <w:tcPr>
            <w:tcW w:type="dxa" w:w="12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期限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專案督導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專案督導或指定主管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任務書、授權、升級處理機制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範圍與資源核定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啟動階段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課程銜接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學院／系所學術負責人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DMS 模組 mapping、6/9 門建議、師資配置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課程適配與學分抵認建議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課程銜接階段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教務處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教務處負責人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學分換算、抵修、長庚學位資格、學籍處理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校內規則解釋與核准路徑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教務規則階段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招生／教育部合規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招生與教務處負責人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獨立招生理由、學費／名額說明、教育部諮詢與申請路徑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招生模式是否可依法推動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政策定義階段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法務審閱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法務負責人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NDA 審閱、PDPA 控管、宣傳限制、合約風險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契約風險與簽署準備度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法務關卡階段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國際聯繫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國際事務／SIM 窗口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問題清單、文件往返、會議紀錄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對外溝通一致性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釐清階段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師資盤點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師資盤點負責人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Teaching Profile、CV、證書／成績單、英語授課矩陣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6/9 門課師資可行性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師資準備階段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營運執行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營運負責人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場地、課表、考務、稽核文件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營運可行性與時程控管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申請準備階段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招生與諮詢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招生／諮詢負責人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獨立招生概念、家長諮詢話術、宣傳合規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與教育部核准後學生溝通內容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核准路徑確認後</w:t>
            </w:r>
          </w:p>
        </w:tc>
      </w:tr>
      <w:tr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財務模式</w:t>
            </w:r>
          </w:p>
        </w:tc>
        <w:tc>
          <w:tcPr>
            <w:tcW w:type="dxa" w:w="1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財務／商業模式負責人</w:t>
            </w:r>
          </w:p>
        </w:tc>
        <w:tc>
          <w:tcPr>
            <w:tcW w:type="dxa" w:w="27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費用、分潤、稽核成本、損益平衡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永續經營建議</w:t>
            </w:r>
          </w:p>
        </w:tc>
        <w:tc>
          <w:tcPr>
            <w:tcW w:type="dxa" w:w="12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取得附件後</w:t>
            </w:r>
          </w:p>
        </w:tc>
      </w:tr>
    </w:tbl>
    <w:p>
      <w:pPr>
        <w:spacing w:before="0" w:after="160" w:line="264" w:lineRule="auto"/>
      </w:pPr>
    </w:p>
    <w:p>
      <w:r>
        <w:br w:type="page"/>
      </w:r>
    </w:p>
    <w:p>
      <w:bookmarkStart w:id="6" w:name="toc_modules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DMS 課程盤點</w:t>
      </w:r>
      <w:bookmarkEnd w:id="6"/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DMS PDF 列示 15 門課，每門 42 接觸學時，總計 630 接觸學時，為 15 個月全日制課程。</w:t>
      </w:r>
    </w:p>
    <w:p>
      <w:pPr>
        <w:spacing w:before="0"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DMS PDF 的 15 門課順序與 xlsx Data sheet 的 9 門 DMS 清單不同。SIM 未確認前，不應鎖定長庚開課序列。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600"/>
        <w:gridCol w:w="1650"/>
        <w:gridCol w:w="1450"/>
        <w:gridCol w:w="1150"/>
        <w:gridCol w:w="2050"/>
        <w:gridCol w:w="660"/>
      </w:tblGrid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SIM 課程</w:t>
            </w:r>
          </w:p>
        </w:tc>
        <w:tc>
          <w:tcPr>
            <w:tcW w:type="dxa" w:w="6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學時</w:t>
            </w:r>
          </w:p>
        </w:tc>
        <w:tc>
          <w:tcPr>
            <w:tcW w:type="dxa" w:w="16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可能對應長庚課程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潛在師資</w:t>
            </w:r>
          </w:p>
        </w:tc>
        <w:tc>
          <w:tcPr>
            <w:tcW w:type="dxa" w:w="11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英語授課準備度</w:t>
            </w:r>
          </w:p>
        </w:tc>
        <w:tc>
          <w:tcPr>
            <w:tcW w:type="dxa" w:w="20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需備資格佐證</w:t>
            </w:r>
          </w:p>
        </w:tc>
        <w:tc>
          <w:tcPr>
            <w:tcW w:type="dxa" w:w="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風險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English For Business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商務英文／專業溝通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語言或管理教師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CV、學位證書、成績單、英語能力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Business Communications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商務溝通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管理／語言教師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Teaching Profile 與授課經驗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Business Mathematics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商用數學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管理／數量方法教師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學歷與成績單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Microeconomics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經濟學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經濟／管理教師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相關學術資格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Business Statistics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統計／資料分析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資管／管理分析教師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數量課程授課佐證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Information Systems for Business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資訊系統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資訊管理教師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資訊系統資格與英語授課準備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低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Financial Accounting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財務會計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會計教師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會計資格與 teaching profile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Managerial Accounting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管理會計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會計教師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資格與模組相符性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Business Finance</w:t>
            </w:r>
          </w:p>
        </w:tc>
        <w:tc>
          <w:tcPr>
            <w:tcW w:type="dxa" w:w="6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42</w:t>
            </w:r>
          </w:p>
        </w:tc>
        <w:tc>
          <w:tcPr>
            <w:tcW w:type="dxa" w:w="16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財務管理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財金教師</w:t>
            </w:r>
          </w:p>
        </w:tc>
        <w:tc>
          <w:tcPr>
            <w:tcW w:type="dxa" w:w="11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財金資格與成績單</w:t>
            </w:r>
          </w:p>
        </w:tc>
        <w:tc>
          <w:tcPr>
            <w:tcW w:type="dxa" w:w="6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</w:tr>
    </w:tbl>
    <w:p>
      <w:pPr>
        <w:spacing w:before="0" w:after="160" w:line="264" w:lineRule="auto"/>
      </w:pPr>
    </w:p>
    <w:p>
      <w:bookmarkStart w:id="7" w:name="toc_scenarios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情境比較</w:t>
      </w:r>
      <w:bookmarkEnd w:id="7"/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A. OTC-only pilot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3100"/>
        <w:gridCol w:w="18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學生價值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長庚價值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必要核准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風險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在台灣修 SIM 模組，轉銜壓力較低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先測試教學與營運能力，避免過早公開路徑承諾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NDA、SIM OTC 申請、校內開課核准；若搭配獨立招生仍需教育部核准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最適合作為第一階段</w:t>
            </w:r>
          </w:p>
        </w:tc>
      </w:tr>
    </w:tbl>
    <w:p>
      <w:pPr>
        <w:spacing w:before="0" w:after="160" w:line="264" w:lineRule="auto"/>
      </w:pPr>
    </w:p>
    <w:p>
      <w:pPr>
        <w:spacing w:before="0" w:after="160" w:line="264" w:lineRule="auto"/>
      </w:pPr>
      <w:r>
        <w:rPr>
          <w:rFonts w:ascii="Microsoft JhengHei" w:hAnsi="Microsoft JhengHei" w:eastAsia="Microsoft JhengHei"/>
          <w:b w:val="0"/>
          <w:color w:val="545D57"/>
          <w:sz w:val="19"/>
        </w:rPr>
        <w:t>師資負荷: 6 門至少 3 位教師  |  學分複雜度: 若需學分抵認則為中度  |  時程: SIM 核准後可最早測試，但不等於可公開招生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B. OTC + 6 門後赴 SIM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3100"/>
        <w:gridCol w:w="18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學生價值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長庚價值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必要核准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風險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台灣起步後較早銜接海外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具招生吸引力且長庚投入較輕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SIM OTC 核准、教育部獨立招生核准、諮詢與學籍規則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教育部未核准、同步排課與成績登錄</w:t>
            </w:r>
          </w:p>
        </w:tc>
      </w:tr>
    </w:tbl>
    <w:p>
      <w:pPr>
        <w:spacing w:before="0" w:after="160" w:line="264" w:lineRule="auto"/>
      </w:pPr>
    </w:p>
    <w:p>
      <w:pPr>
        <w:spacing w:before="0" w:after="160" w:line="264" w:lineRule="auto"/>
      </w:pPr>
      <w:r>
        <w:rPr>
          <w:rFonts w:ascii="Microsoft JhengHei" w:hAnsi="Microsoft JhengHei" w:eastAsia="Microsoft JhengHei"/>
          <w:b w:val="0"/>
          <w:color w:val="545D57"/>
          <w:sz w:val="19"/>
        </w:rPr>
        <w:t>師資負荷: 至少 3 位教師  |  學分複雜度: 對保留與抵修為高  |  時程: 取決於 SIM cycle 與教育部核准路徑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C. OTC + 9 門後赴 SIM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3100"/>
        <w:gridCol w:w="18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學生價值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長庚價值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必要核准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風險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赴新加坡前準備較完整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長庚投入與可抵認學習較多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同 B，但課程銜接與招生理由更重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師資、課表與招生核准瓶頸</w:t>
            </w:r>
          </w:p>
        </w:tc>
      </w:tr>
    </w:tbl>
    <w:p>
      <w:pPr>
        <w:spacing w:before="0" w:after="160" w:line="264" w:lineRule="auto"/>
      </w:pPr>
    </w:p>
    <w:p>
      <w:pPr>
        <w:spacing w:before="0" w:after="160" w:line="264" w:lineRule="auto"/>
      </w:pPr>
      <w:r>
        <w:rPr>
          <w:rFonts w:ascii="Microsoft JhengHei" w:hAnsi="Microsoft JhengHei" w:eastAsia="Microsoft JhengHei"/>
          <w:b w:val="0"/>
          <w:color w:val="545D57"/>
          <w:sz w:val="19"/>
        </w:rPr>
        <w:t>師資負荷: 至少 5 位教師  |  學分複雜度: 高，但 mapping 價值較大  |  時程: 在台期間較長，受 SIM 與教育部時程共同限制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D. 選配長庚學位回流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2200"/>
        <w:gridCol w:w="3100"/>
        <w:gridCol w:w="1860"/>
      </w:tblGrid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學生價值</w:t>
            </w:r>
          </w:p>
        </w:tc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長庚價值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必要核准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風險</w:t>
            </w:r>
          </w:p>
        </w:tc>
      </w:tr>
      <w:tr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7"/>
              </w:rPr>
              <w:t>可能取得長庚學位與海外合作大學學位</w:t>
            </w:r>
          </w:p>
        </w:tc>
        <w:tc>
          <w:tcPr>
            <w:tcW w:type="dxa" w:w="22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保留率與學位完成率有上升空間</w:t>
            </w:r>
          </w:p>
        </w:tc>
        <w:tc>
          <w:tcPr>
            <w:tcW w:type="dxa" w:w="31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教務處、學院與教育部敏感之招生／學費審查</w:t>
            </w:r>
          </w:p>
        </w:tc>
        <w:tc>
          <w:tcPr>
            <w:tcW w:type="dxa" w:w="186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7"/>
              </w:rPr>
              <w:t>目前不得宣稱雙聯學位</w:t>
            </w:r>
          </w:p>
        </w:tc>
      </w:tr>
    </w:tbl>
    <w:p>
      <w:pPr>
        <w:spacing w:before="0" w:after="160" w:line="264" w:lineRule="auto"/>
      </w:pPr>
    </w:p>
    <w:p>
      <w:pPr>
        <w:spacing w:before="0" w:after="160" w:line="264" w:lineRule="auto"/>
      </w:pPr>
      <w:r>
        <w:rPr>
          <w:rFonts w:ascii="Microsoft JhengHei" w:hAnsi="Microsoft JhengHei" w:eastAsia="Microsoft JhengHei"/>
          <w:b w:val="0"/>
          <w:color w:val="545D57"/>
          <w:sz w:val="19"/>
        </w:rPr>
        <w:t>師資負荷: 視回流課程而定  |  學分複雜度: 規則確認前極高  |  時程: 第二階段再設計</w:t>
      </w:r>
    </w:p>
    <w:p>
      <w:bookmarkStart w:id="8" w:name="toc_risks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風險登錄</w:t>
      </w:r>
      <w:bookmarkEnd w:id="8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50"/>
        <w:gridCol w:w="850"/>
        <w:gridCol w:w="900"/>
        <w:gridCol w:w="1550"/>
        <w:gridCol w:w="3210"/>
      </w:tblGrid>
      <w:tr>
        <w:tc>
          <w:tcPr>
            <w:tcW w:type="dxa" w:w="28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風險</w:t>
            </w:r>
          </w:p>
        </w:tc>
        <w:tc>
          <w:tcPr>
            <w:tcW w:type="dxa" w:w="8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嚴重度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可能性</w:t>
            </w:r>
          </w:p>
        </w:tc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權責單位</w:t>
            </w:r>
          </w:p>
        </w:tc>
        <w:tc>
          <w:tcPr>
            <w:tcW w:type="dxa" w:w="32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因應策略 / 下一步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教育部可能不核准獨立招生方案。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招生／教務處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將教育部核准視為與 SIM 審查平行的 go/no-go 關卡；未雙核准前不招生。 確認申請路徑、學費／名額說明與送審條件。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長庚／台灣學分或修業要求可能無法支撐簡單雙學位敘事。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教務處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將長庚學位定位為選配，待教務處正式解釋後再定案。 提出學分／時間／在校規則判讀。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赴新加坡階段學籍可能需休學或退學。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教務處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招生前建立諮詢模型與學籍決策樹。 定義 SIM progression 之學籍處理。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NDA 不得公開宣傳條款限制招生溝通。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法務／招生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法務與 SIM 書面同意前，不對外宣稱 SIM 合作內容。 擬定核准前訊息邊界。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新加坡法、專屬管轄與 PDPA 可能需法務升級處理。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法務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NDA 與後續正式合約均先完成法務審閱。 完成 NDA 風險摘要。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精確 blended delivery split 尚在 NDA 附件後，且與會談階段約略 21/21 說法不完全一致。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SIM 聯繫窗口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現階段以 Application Form Appendix A 為文件事實，附件後再校準。 請 SIM 確認考試／非考試模組分工。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DMS PDF 與 xlsx Data sheet 的課程序列不同。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學術負責人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SIM 確認前不定版 6/9 門課表。 索取官方模組順序。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每位教師最多兩門，師資可能成為主要瓶頸。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師資盤點負責人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先做 6 門與 9 門兩套師資盤點。 提名教師並收齊佐證。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SIM 線上同步時程可能無法與長庚學期自然銜接。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營運負責人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依 SIM cycle 排課，不假設長庚可自由壓縮。 確認 SIM timetable 彈性。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考卷批改與試卷送回新加坡流程未明。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營運負責人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釐清試題、監考、批改與試卷流向 SOP。 向 SIM 索取考務作業規範。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費用、分潤與 onsite audit 成本需附件後才可評估。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財務負責人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附件審閱前暫不核定商業模式。 取得附件後建立財務模型。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首屆後認證最低班級人數未明。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SIM 聯繫窗口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列入 SIM 待釐清事項。 詢問門檻與遠距／書面查核條件。</w:t>
            </w:r>
          </w:p>
        </w:tc>
      </w:tr>
      <w:tr>
        <w:tc>
          <w:tcPr>
            <w:tcW w:type="dxa" w:w="2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5"/>
              </w:rPr>
              <w:t>公開提及合作大學可能過度承諾。</w:t>
            </w:r>
          </w:p>
        </w:tc>
        <w:tc>
          <w:tcPr>
            <w:tcW w:type="dxa" w:w="8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高</w:t>
            </w:r>
          </w:p>
        </w:tc>
        <w:tc>
          <w:tcPr>
            <w:tcW w:type="dxa" w:w="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中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招生／法務</w:t>
            </w:r>
          </w:p>
        </w:tc>
        <w:tc>
          <w:tcPr>
            <w:tcW w:type="dxa" w:w="32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5"/>
              </w:rPr>
              <w:t>所有 partner/pathway claim 均需來源查證與法務確認。 建立宣傳 claim-review 清單。</w:t>
            </w:r>
          </w:p>
        </w:tc>
      </w:tr>
    </w:tbl>
    <w:p>
      <w:pPr>
        <w:spacing w:before="0" w:after="160" w:line="264" w:lineRule="auto"/>
      </w:pPr>
    </w:p>
    <w:p>
      <w:bookmarkStart w:id="9" w:name="toc_questions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待釐清事項</w:t>
      </w:r>
      <w:bookmarkEnd w:id="9"/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教務處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長庚學位要求是依學分、修業時間、在校期間，或混合計算？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SIM 接觸學時是否可轉換為長庚學分或微課程？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SIM 模組可否納入必修目標或以抵修方式處理？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學生赴 SIM 新加坡後應採休學、退學、保留學籍或其他狀態？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招生／教育部合規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學費不同且平行於學測／分科既有路徑招生，是否必須以獨立招生申請？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本案可採何種教育部核准路徑：專案、學程、系所或其他機制？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招生名額、學費、學籍、SIM offer 與赴新加坡銜接應如何揭露？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若教育部不核准，SIM 申請與合作設計應如何停損？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法務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新加坡法與新加坡法院專屬管轄是否可接受？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NDA 與後續正式協議由誰簽署？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校內保密控管需要哪些程序？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招生文宣前需有哪些不得公開與書面同意規範？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SIM／Jessy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長庚應採哪一版 DMS 課程序列？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6 門或 9 門中哪些模組可由長庚開授？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考試與非考試模組的 SIM／OTC 學時分工為何？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台灣 cohort 的同步線上課是否可調整？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考試由誰批改，試卷是否需送回新加坡？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費用與收入分潤條件為何？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認證最低班級人數為何？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招生材料需取得何種書面許可？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學院主管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初始標的是否確定為 DMS，或後續是否評估 DAC、DBF、DIB、DIT、GDBA？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哪些系所可提供合格英語授課教師？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招生品質與學生保留率之取捨界線為何？</w:t>
      </w:r>
    </w:p>
    <w:p>
      <w:bookmarkStart w:id="10" w:name="toc_agenda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決策議程</w:t>
      </w:r>
      <w:bookmarkEnd w:id="10"/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本次建議核准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成立 CGU-SIM 推動小組。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進入 NDA 法務審閱。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指定授權簽署人與簽署權限佐證負責人。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授權教務處釐清學分、學籍與學分抵認。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授權招生／教務處評估教育部獨立招生核准路徑。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授權針對 DMS 6 門與 9 門情境進行師資盤點。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暫緩決定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公開招生與宣傳文字。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雙聯學位或長庚學位承諾。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最終 6/9 門課開授決策。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附件費用與條件未明前之商業模式核定。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SIM 與教育部雙核准前之學生招募。</w:t>
      </w:r>
    </w:p>
    <w:p>
      <w:pPr>
        <w:pStyle w:val="Heading2"/>
        <w:spacing w:before="240" w:after="120" w:line="264" w:lineRule="auto"/>
      </w:pPr>
      <w:r>
        <w:rPr>
          <w:rFonts w:ascii="Microsoft JhengHei" w:hAnsi="Microsoft JhengHei" w:eastAsia="Microsoft JhengHei"/>
          <w:b/>
          <w:color w:val="2E74B5"/>
          <w:sz w:val="26"/>
        </w:rPr>
        <w:t>交推動小組查證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DMS 官方課程序列與可開授模組。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教育部對獨立招生、學費與名額處理之核准路徑。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考試批改、試卷保管與考務 SOP。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SIM 線上同步時程彈性。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最低班級人數與認證方式。</w:t>
      </w:r>
    </w:p>
    <w:p>
      <w:pPr>
        <w:pStyle w:val="ListBullet"/>
        <w:spacing w:before="0" w:after="80" w:line="264" w:lineRule="auto"/>
      </w:pPr>
      <w:r>
        <w:rPr>
          <w:rFonts w:ascii="Microsoft JhengHei" w:hAnsi="Microsoft JhengHei" w:eastAsia="Microsoft JhengHei"/>
          <w:sz w:val="22"/>
        </w:rPr>
        <w:t>招生材料所需書面許可。</w:t>
      </w:r>
    </w:p>
    <w:p>
      <w:bookmarkStart w:id="11" w:name="toc_sources"/>
      <w:pPr>
        <w:pStyle w:val="Heading1"/>
        <w:spacing w:before="320" w:after="160" w:line="264" w:lineRule="auto"/>
      </w:pPr>
      <w:r>
        <w:rPr>
          <w:rFonts w:ascii="Microsoft JhengHei" w:hAnsi="Microsoft JhengHei" w:eastAsia="Microsoft JhengHei"/>
          <w:b/>
          <w:color w:val="2E74B5"/>
          <w:sz w:val="32"/>
        </w:rPr>
        <w:t>來源註記</w:t>
      </w:r>
      <w:bookmarkEnd w:id="11"/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400"/>
        <w:gridCol w:w="1900"/>
        <w:gridCol w:w="1450"/>
        <w:gridCol w:w="2610"/>
      </w:tblGrid>
      <w:tr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主張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來源</w:t>
            </w:r>
          </w:p>
        </w:tc>
        <w:tc>
          <w:tcPr>
            <w:tcW w:type="dxa" w:w="145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狀態</w:t>
            </w:r>
          </w:p>
        </w:tc>
        <w:tc>
          <w:tcPr>
            <w:tcW w:type="dxa" w:w="261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0B2545"/>
                <w:sz w:val="18"/>
              </w:rPr>
              <w:t>簡報意涵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學生可透過長庚招生入學、具長庚學籍，SIM 另發 offer。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2026 年 6 月 9 日 CGU-SIM 會談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6 月 9 日會談已確認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招生前須先設計諮詢與學籍處理規則。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大學招生規定，包括單獨招生，須由大學擬訂並報教育部核定後實施。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大學法第 24 條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台灣法規已確認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CGU-SIM 獨立招生不是單純校內時程問題，而是與 SIM 審查平行的核准路徑。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長庚學位至少需半數學分／時間在長庚或台灣完成，精確規則待確認。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2026 年 6 月 9 日 CGU-SIM 會談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待長庚確認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不得將本案直接包裝為已確認雙聯學位。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DMS 為 15 門課、每門 42 接觸學時、總計 630 學時。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Course info_Diploma in Management Studies.pdf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文件已確認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DMS 可作第一階段課程銜接標的。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SIM OTC 流程包含申請、SIM 審查、onsite audit、教師線上審查、核准、180 日內簽約、首屆後認證與年度 review。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Diploma_Business OTC Application Guide_11Sep2025.docx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文件已確認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本案應以多關卡申請案進行時程控管。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Application Form 列有 DMS 6 門與 9 門選項，Appendix A 列示 blended delivery hours。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Application Form_10Nov25.docx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文件已確認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正式決策前應比較 6 門與 9 門情境。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Teaching Profile workbook 限每位教師最多兩門，並需證書與成績單。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Academic Staff Teaching Profile Form- 10162025.xlsx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文件已確認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師資佐證將是關鍵瓶頸。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NDA 包含不得公開宣傳、PDPA、新加坡法與七年保密義務。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NDA template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文件已確認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法務審閱與校內保密控管是立即關卡。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sz w:val="16"/>
              </w:rPr>
              <w:t>若 SIM OTC 未核准，或台灣教育部未核准獨立招生，學生招募型合作均無法依原設計推動。</w:t>
            </w:r>
          </w:p>
        </w:tc>
        <w:tc>
          <w:tcPr>
            <w:tcW w:type="dxa" w:w="190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SIM OTC Guide 與大學法第 24 條綜整</w:t>
            </w:r>
          </w:p>
        </w:tc>
        <w:tc>
          <w:tcPr>
            <w:tcW w:type="dxa" w:w="145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台灣法規已確認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6"/>
              </w:rPr>
              <w:t>應以交織的雙申請管理本案，最後再做共同開辦決策。</w:t>
            </w:r>
          </w:p>
        </w:tc>
      </w:tr>
    </w:tbl>
    <w:p>
      <w:pPr>
        <w:spacing w:before="0" w:after="160" w:line="264" w:lineRule="auto"/>
      </w:pP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 w:eastAsia="Microsoft Jheng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 w:eastAsia="Microsoft Jheng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gu-sim-chatbot.cguaacsb.chatgpt.si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