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left"/>
      </w:pPr>
      <w:r>
        <w:rPr>
          <w:rFonts w:ascii="Calibri" w:hAnsi="Calibri" w:eastAsia="Calibri"/>
          <w:b/>
          <w:color w:val="0B2545"/>
          <w:sz w:val="48"/>
        </w:rPr>
        <w:t>CGU-SIM Briefing</w:t>
      </w:r>
    </w:p>
    <w:p>
      <w:pPr>
        <w:spacing w:before="0" w:after="120" w:line="264" w:lineRule="auto"/>
      </w:pPr>
      <w:r>
        <w:rPr>
          <w:rFonts w:ascii="Calibri" w:hAnsi="Calibri" w:eastAsia="Calibri"/>
          <w:b w:val="0"/>
          <w:color w:val="545D57"/>
          <w:sz w:val="26"/>
        </w:rPr>
        <w:t>OTC application first, student pathway design second</w:t>
      </w:r>
    </w:p>
    <w:p>
      <w:pPr>
        <w:spacing w:before="0" w:after="360" w:line="264" w:lineRule="auto"/>
      </w:pPr>
      <w:r>
        <w:rPr>
          <w:rFonts w:ascii="Calibri" w:hAnsi="Calibri" w:eastAsia="Calibri"/>
          <w:b w:val="0"/>
          <w:color w:val="545D57"/>
          <w:sz w:val="21"/>
        </w:rPr>
        <w:t>Prepared for CGU academic and administrative leadership</w:t>
      </w:r>
    </w:p>
    <w:tbl>
      <w:tblPr>
        <w:tblStyle w:val="TableGrid"/>
        <w:tblW w:type="dxa" w:w="3600"/>
        <w:jc w:val="left"/>
        <w:tblLayout w:type="fixed"/>
        <w:tblLook w:firstColumn="1" w:firstRow="1" w:lastColumn="0" w:lastRow="0" w:noHBand="0" w:noVBand="1" w:val="04A0"/>
        <w:tblInd w:w="120" w:type="dxa"/>
      </w:tblPr>
      <w:tblGrid>
        <w:gridCol w:w="3600"/>
      </w:tblGrid>
      <w:tr>
        <w:tc>
          <w:tcPr>
            <w:tcW w:type="dxa" w:w="3600"/>
            <w:tcMar>
              <w:top w:w="120" w:type="dxa"/>
              <w:bottom w:w="120" w:type="dxa"/>
              <w:start w:w="180" w:type="dxa"/>
              <w:end w:w="180" w:type="dxa"/>
            </w:tcMar>
            <w:shd w:fill="2D6F73"/>
          </w:tcPr>
          <w:p>
            <w:pPr>
              <w:spacing w:before="0" w:after="0" w:line="240" w:lineRule="auto"/>
              <w:jc w:val="center"/>
            </w:pPr>
            <w:hyperlink r:id="rId9">
              <w:r>
                <w:rPr>
                  <w:rFonts w:ascii="Calibri" w:hAnsi="Calibri" w:eastAsia="Calibri"/>
                  <w:color w:val="FFFFFF"/>
                  <w:u w:val="none"/>
                  <w:sz w:val="23"/>
                  <w:b/>
                </w:rPr>
                <w:t>Open chatbot</w:t>
              </w:r>
            </w:hyperlink>
          </w:p>
        </w:tc>
      </w:tr>
    </w:tbl>
    <w:p>
      <w:pPr>
        <w:spacing w:before="0" w:after="40" w:line="264" w:lineRule="auto"/>
      </w:pPr>
    </w:p>
    <w:p>
      <w:pPr>
        <w:spacing w:before="0" w:after="280" w:line="264" w:lineRule="auto"/>
      </w:pPr>
      <w:r>
        <w:rPr>
          <w:rFonts w:ascii="Calibri" w:hAnsi="Calibri" w:eastAsia="Calibri"/>
          <w:b w:val="0"/>
          <w:color w:val="545D57"/>
          <w:sz w:val="19"/>
        </w:rPr>
        <w:t>Public Q&amp;A assistant for this briefing</w:t>
      </w:r>
    </w:p>
    <w:p>
      <w:pPr>
        <w:pStyle w:val="Heading1"/>
        <w:spacing w:before="320" w:after="160" w:line="264" w:lineRule="auto"/>
      </w:pPr>
      <w:r>
        <w:rPr>
          <w:rFonts w:ascii="Calibri" w:hAnsi="Calibri" w:eastAsia="Calibri"/>
          <w:b/>
          <w:color w:val="2E74B5"/>
          <w:sz w:val="32"/>
        </w:rPr>
        <w:t>Table of Contents</w:t>
      </w:r>
    </w:p>
    <w:p>
      <w:pPr>
        <w:spacing w:before="0" w:after="160" w:line="264" w:lineRule="auto"/>
      </w:pPr>
      <w:r>
        <w:rPr>
          <w:rFonts w:ascii="Calibri" w:hAnsi="Calibri" w:eastAsia="Calibri"/>
          <w:b w:val="0"/>
          <w:color w:val="545D57"/>
          <w:sz w:val="21"/>
        </w:rPr>
        <w:t>Click any item below to jump to that section.</w:t>
      </w:r>
    </w:p>
    <w:p>
      <w:pPr>
        <w:spacing w:before="0" w:after="60" w:line="264" w:lineRule="auto"/>
        <w:ind w:left="259"/>
      </w:pPr>
      <w:hyperlink w:anchor="toc_dashboard">
        <w:r>
          <w:rPr>
            <w:rFonts w:ascii="Calibri" w:hAnsi="Calibri" w:eastAsia="Calibri"/>
            <w:color w:val="2E74B5"/>
            <w:u w:val="single"/>
            <w:sz w:val="22"/>
          </w:rPr>
          <w:t>Executive Dashboard</w:t>
        </w:r>
      </w:hyperlink>
    </w:p>
    <w:p>
      <w:pPr>
        <w:spacing w:before="0" w:after="60" w:line="264" w:lineRule="auto"/>
        <w:ind w:left="259"/>
      </w:pPr>
      <w:hyperlink w:anchor="toc_architecture">
        <w:r>
          <w:rPr>
            <w:rFonts w:ascii="Calibri" w:hAnsi="Calibri" w:eastAsia="Calibri"/>
            <w:color w:val="2E74B5"/>
            <w:u w:val="single"/>
            <w:sz w:val="22"/>
          </w:rPr>
          <w:t>Collaboration Architecture</w:t>
        </w:r>
      </w:hyperlink>
    </w:p>
    <w:p>
      <w:pPr>
        <w:spacing w:before="0" w:after="60" w:line="264" w:lineRule="auto"/>
        <w:ind w:left="259"/>
      </w:pPr>
      <w:hyperlink w:anchor="toc_documents">
        <w:r>
          <w:rPr>
            <w:rFonts w:ascii="Calibri" w:hAnsi="Calibri" w:eastAsia="Calibri"/>
            <w:color w:val="2E74B5"/>
            <w:u w:val="single"/>
            <w:sz w:val="22"/>
          </w:rPr>
          <w:t>Document Map</w:t>
        </w:r>
      </w:hyperlink>
    </w:p>
    <w:p>
      <w:pPr>
        <w:spacing w:before="0" w:after="60" w:line="264" w:lineRule="auto"/>
        <w:ind w:left="259"/>
      </w:pPr>
      <w:hyperlink w:anchor="toc_timeline">
        <w:r>
          <w:rPr>
            <w:rFonts w:ascii="Calibri" w:hAnsi="Calibri" w:eastAsia="Calibri"/>
            <w:color w:val="2E74B5"/>
            <w:u w:val="single"/>
            <w:sz w:val="22"/>
          </w:rPr>
          <w:t>Timeline</w:t>
        </w:r>
      </w:hyperlink>
    </w:p>
    <w:p>
      <w:pPr>
        <w:spacing w:before="0" w:after="60" w:line="264" w:lineRule="auto"/>
        <w:ind w:left="259"/>
      </w:pPr>
      <w:hyperlink w:anchor="toc_workstreams">
        <w:r>
          <w:rPr>
            <w:rFonts w:ascii="Calibri" w:hAnsi="Calibri" w:eastAsia="Calibri"/>
            <w:color w:val="2E74B5"/>
            <w:u w:val="single"/>
            <w:sz w:val="22"/>
          </w:rPr>
          <w:t>Workstreams</w:t>
        </w:r>
      </w:hyperlink>
    </w:p>
    <w:p>
      <w:pPr>
        <w:spacing w:before="0" w:after="60" w:line="264" w:lineRule="auto"/>
        <w:ind w:left="259"/>
      </w:pPr>
      <w:hyperlink w:anchor="toc_modules">
        <w:r>
          <w:rPr>
            <w:rFonts w:ascii="Calibri" w:hAnsi="Calibri" w:eastAsia="Calibri"/>
            <w:color w:val="2E74B5"/>
            <w:u w:val="single"/>
            <w:sz w:val="22"/>
          </w:rPr>
          <w:t>DMS Modules</w:t>
        </w:r>
      </w:hyperlink>
    </w:p>
    <w:p>
      <w:pPr>
        <w:spacing w:before="0" w:after="60" w:line="264" w:lineRule="auto"/>
        <w:ind w:left="259"/>
      </w:pPr>
      <w:hyperlink w:anchor="toc_scenarios">
        <w:r>
          <w:rPr>
            <w:rFonts w:ascii="Calibri" w:hAnsi="Calibri" w:eastAsia="Calibri"/>
            <w:color w:val="2E74B5"/>
            <w:u w:val="single"/>
            <w:sz w:val="22"/>
          </w:rPr>
          <w:t>Scenario Comparison</w:t>
        </w:r>
      </w:hyperlink>
    </w:p>
    <w:p>
      <w:pPr>
        <w:spacing w:before="0" w:after="60" w:line="264" w:lineRule="auto"/>
        <w:ind w:left="259"/>
      </w:pPr>
      <w:hyperlink w:anchor="toc_risks">
        <w:r>
          <w:rPr>
            <w:rFonts w:ascii="Calibri" w:hAnsi="Calibri" w:eastAsia="Calibri"/>
            <w:color w:val="2E74B5"/>
            <w:u w:val="single"/>
            <w:sz w:val="22"/>
          </w:rPr>
          <w:t>Risk Register</w:t>
        </w:r>
      </w:hyperlink>
    </w:p>
    <w:p>
      <w:pPr>
        <w:spacing w:before="0" w:after="60" w:line="264" w:lineRule="auto"/>
        <w:ind w:left="259"/>
      </w:pPr>
      <w:hyperlink w:anchor="toc_questions">
        <w:r>
          <w:rPr>
            <w:rFonts w:ascii="Calibri" w:hAnsi="Calibri" w:eastAsia="Calibri"/>
            <w:color w:val="2E74B5"/>
            <w:u w:val="single"/>
            <w:sz w:val="22"/>
          </w:rPr>
          <w:t>Open Questions</w:t>
        </w:r>
      </w:hyperlink>
    </w:p>
    <w:p>
      <w:pPr>
        <w:spacing w:before="0" w:after="60" w:line="264" w:lineRule="auto"/>
        <w:ind w:left="259"/>
      </w:pPr>
      <w:hyperlink w:anchor="toc_agenda">
        <w:r>
          <w:rPr>
            <w:rFonts w:ascii="Calibri" w:hAnsi="Calibri" w:eastAsia="Calibri"/>
            <w:color w:val="2E74B5"/>
            <w:u w:val="single"/>
            <w:sz w:val="22"/>
          </w:rPr>
          <w:t>Decision Agenda</w:t>
        </w:r>
      </w:hyperlink>
    </w:p>
    <w:p>
      <w:pPr>
        <w:spacing w:before="0" w:after="60" w:line="264" w:lineRule="auto"/>
        <w:ind w:left="259"/>
      </w:pPr>
      <w:hyperlink w:anchor="toc_sources">
        <w:r>
          <w:rPr>
            <w:rFonts w:ascii="Calibri" w:hAnsi="Calibri" w:eastAsia="Calibri"/>
            <w:color w:val="2E74B5"/>
            <w:u w:val="single"/>
            <w:sz w:val="22"/>
          </w:rPr>
          <w:t>Source Notes</w:t>
        </w:r>
      </w:hyperlink>
    </w:p>
    <w:p>
      <w:pPr>
        <w:spacing w:before="0" w:after="240" w:line="264" w:lineRule="auto"/>
      </w:pPr>
    </w:p>
    <w:p>
      <w:bookmarkStart w:id="1" w:name="toc_dashboard"/>
      <w:pPr>
        <w:pStyle w:val="Heading1"/>
        <w:spacing w:before="320" w:after="160" w:line="264" w:lineRule="auto"/>
      </w:pPr>
      <w:r>
        <w:rPr>
          <w:rFonts w:ascii="Calibri" w:hAnsi="Calibri" w:eastAsia="Calibri"/>
          <w:b/>
          <w:color w:val="2E74B5"/>
          <w:sz w:val="32"/>
        </w:rPr>
        <w:t>Executive Dashboard</w:t>
      </w:r>
      <w:bookmarkEnd w:id="1"/>
    </w:p>
    <w:p>
      <w:pPr>
        <w:pStyle w:val="Heading2"/>
        <w:spacing w:before="240" w:after="120" w:line="264" w:lineRule="auto"/>
      </w:pPr>
      <w:r>
        <w:rPr>
          <w:rFonts w:ascii="Calibri" w:hAnsi="Calibri" w:eastAsia="Calibri"/>
          <w:b/>
          <w:color w:val="2E74B5"/>
          <w:sz w:val="26"/>
        </w:rPr>
        <w:t>Current project stage</w:t>
      </w:r>
    </w:p>
    <w:p>
      <w:pPr>
        <w:spacing w:before="0" w:after="120" w:line="264" w:lineRule="auto"/>
      </w:pPr>
      <w:r>
        <w:rPr>
          <w:rFonts w:ascii="Calibri" w:hAnsi="Calibri" w:eastAsia="Calibri"/>
          <w:b w:val="0"/>
          <w:sz w:val="22"/>
        </w:rPr>
        <w:t>Feasibility, OTC application preparation, and Taiwan admissions-permission assessment. No public launch or final partnership commitment should be assumed.</w:t>
      </w:r>
    </w:p>
    <w:p>
      <w:pPr>
        <w:pStyle w:val="Heading2"/>
        <w:spacing w:before="240" w:after="120" w:line="264" w:lineRule="auto"/>
      </w:pPr>
      <w:r>
        <w:rPr>
          <w:rFonts w:ascii="Calibri" w:hAnsi="Calibri" w:eastAsia="Calibri"/>
          <w:b/>
          <w:color w:val="2E74B5"/>
          <w:sz w:val="26"/>
        </w:rPr>
        <w:t>Recommended next decision</w:t>
      </w:r>
    </w:p>
    <w:p>
      <w:pPr>
        <w:spacing w:before="0" w:after="120" w:line="264" w:lineRule="auto"/>
      </w:pPr>
      <w:r>
        <w:rPr>
          <w:rFonts w:ascii="Calibri" w:hAnsi="Calibri" w:eastAsia="Calibri"/>
          <w:b w:val="0"/>
          <w:sz w:val="22"/>
        </w:rPr>
        <w:t>Authorize a CGU-SIM task force to pursue two linked approval tracks: SIM OTC review and Taiwan MOE permission for an independent admissions model before any public recruitment claim.</w:t>
      </w:r>
    </w:p>
    <w:p>
      <w:pPr>
        <w:pStyle w:val="Heading2"/>
        <w:spacing w:before="240" w:after="120" w:line="264" w:lineRule="auto"/>
      </w:pPr>
      <w:r>
        <w:rPr>
          <w:rFonts w:ascii="Calibri" w:hAnsi="Calibri" w:eastAsia="Calibri"/>
          <w:b/>
          <w:color w:val="2E74B5"/>
          <w:sz w:val="26"/>
        </w:rPr>
        <w:t>Key indicators</w:t>
      </w:r>
    </w:p>
    <w:tbl>
      <w:tblPr>
        <w:tblStyle w:val="TableGrid"/>
        <w:tblW w:type="dxa" w:w="9240"/>
        <w:jc w:val="left"/>
        <w:tblLayout w:type="fixed"/>
        <w:tblLook w:firstColumn="1" w:firstRow="1" w:lastColumn="0" w:lastRow="0" w:noHBand="0" w:noVBand="1" w:val="04A0"/>
        <w:tblInd w:w="120" w:type="dxa"/>
      </w:tblPr>
      <w:tblGrid>
        <w:gridCol w:w="1850"/>
        <w:gridCol w:w="1700"/>
        <w:gridCol w:w="3950"/>
        <w:gridCol w:w="1740"/>
      </w:tblGrid>
      <w:tr>
        <w:tc>
          <w:tcPr>
            <w:tcW w:type="dxa" w:w="18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Metric</w:t>
            </w:r>
          </w:p>
        </w:tc>
        <w:tc>
          <w:tcPr>
            <w:tcW w:type="dxa" w:w="17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Value</w:t>
            </w:r>
          </w:p>
        </w:tc>
        <w:tc>
          <w:tcPr>
            <w:tcW w:type="dxa" w:w="39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Note</w:t>
            </w:r>
          </w:p>
        </w:tc>
        <w:tc>
          <w:tcPr>
            <w:tcW w:type="dxa" w:w="174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Status</w:t>
            </w:r>
          </w:p>
        </w:tc>
      </w:tr>
      <w:tr>
        <w:tc>
          <w:tcPr>
            <w:tcW w:type="dxa" w:w="1850"/>
            <w:vAlign w:val="center"/>
          </w:tcPr>
          <w:p>
            <w:pPr>
              <w:spacing w:before="0" w:after="0" w:line="252" w:lineRule="auto"/>
            </w:pPr>
            <w:r/>
            <w:r>
              <w:rPr>
                <w:rFonts w:ascii="Calibri" w:hAnsi="Calibri" w:eastAsia="Calibri"/>
                <w:b/>
                <w:sz w:val="18"/>
              </w:rPr>
              <w:t>Near-term gate</w:t>
            </w:r>
          </w:p>
        </w:tc>
        <w:tc>
          <w:tcPr>
            <w:tcW w:type="dxa" w:w="1700"/>
            <w:vAlign w:val="center"/>
          </w:tcPr>
          <w:p>
            <w:pPr>
              <w:spacing w:before="0" w:after="0" w:line="252" w:lineRule="auto"/>
            </w:pPr>
            <w:r/>
            <w:r>
              <w:rPr>
                <w:rFonts w:ascii="Calibri" w:hAnsi="Calibri" w:eastAsia="Calibri"/>
                <w:b w:val="0"/>
                <w:sz w:val="18"/>
              </w:rPr>
              <w:t>NDA + Annex review</w:t>
            </w:r>
          </w:p>
        </w:tc>
        <w:tc>
          <w:tcPr>
            <w:tcW w:type="dxa" w:w="3950"/>
            <w:vAlign w:val="center"/>
          </w:tcPr>
          <w:p>
            <w:pPr>
              <w:spacing w:before="0" w:after="0" w:line="252" w:lineRule="auto"/>
            </w:pPr>
            <w:r/>
            <w:r>
              <w:rPr>
                <w:rFonts w:ascii="Calibri" w:hAnsi="Calibri" w:eastAsia="Calibri"/>
                <w:b w:val="0"/>
                <w:sz w:val="18"/>
              </w:rPr>
              <w:t>Annexes 1-3 are released only after NDA signature.</w:t>
            </w:r>
          </w:p>
        </w:tc>
        <w:tc>
          <w:tcPr>
            <w:tcW w:type="dxa" w:w="1740"/>
            <w:vAlign w:val="center"/>
          </w:tcPr>
          <w:p>
            <w:pPr>
              <w:spacing w:before="0" w:after="0" w:line="252" w:lineRule="auto"/>
            </w:pPr>
            <w:r/>
            <w:r>
              <w:rPr>
                <w:rFonts w:ascii="Calibri" w:hAnsi="Calibri" w:eastAsia="Calibri"/>
                <w:b w:val="0"/>
                <w:sz w:val="18"/>
              </w:rPr>
              <w:t>Confirmed by SIM document</w:t>
            </w:r>
          </w:p>
        </w:tc>
      </w:tr>
      <w:tr>
        <w:tc>
          <w:tcPr>
            <w:tcW w:type="dxa" w:w="1850"/>
            <w:vAlign w:val="center"/>
          </w:tcPr>
          <w:p>
            <w:pPr>
              <w:spacing w:before="0" w:after="0" w:line="252" w:lineRule="auto"/>
            </w:pPr>
            <w:r/>
            <w:r>
              <w:rPr>
                <w:rFonts w:ascii="Calibri" w:hAnsi="Calibri" w:eastAsia="Calibri"/>
                <w:b/>
                <w:sz w:val="18"/>
              </w:rPr>
              <w:t>Regulatory gate</w:t>
            </w:r>
          </w:p>
        </w:tc>
        <w:tc>
          <w:tcPr>
            <w:tcW w:type="dxa" w:w="1700"/>
            <w:vAlign w:val="center"/>
          </w:tcPr>
          <w:p>
            <w:pPr>
              <w:spacing w:before="0" w:after="0" w:line="252" w:lineRule="auto"/>
            </w:pPr>
            <w:r/>
            <w:r>
              <w:rPr>
                <w:rFonts w:ascii="Calibri" w:hAnsi="Calibri" w:eastAsia="Calibri"/>
                <w:b w:val="0"/>
                <w:sz w:val="18"/>
              </w:rPr>
              <w:t>MOE approval</w:t>
            </w:r>
          </w:p>
        </w:tc>
        <w:tc>
          <w:tcPr>
            <w:tcW w:type="dxa" w:w="3950"/>
            <w:vAlign w:val="center"/>
          </w:tcPr>
          <w:p>
            <w:pPr>
              <w:spacing w:before="0" w:after="0" w:line="252" w:lineRule="auto"/>
            </w:pPr>
            <w:r/>
            <w:r>
              <w:rPr>
                <w:rFonts w:ascii="Calibri" w:hAnsi="Calibri" w:eastAsia="Calibri"/>
                <w:b w:val="0"/>
                <w:sz w:val="18"/>
              </w:rPr>
              <w:t>Independent admissions rules must be approved by Taiwan's MOE before implementation.</w:t>
            </w:r>
          </w:p>
        </w:tc>
        <w:tc>
          <w:tcPr>
            <w:tcW w:type="dxa" w:w="1740"/>
            <w:vAlign w:val="center"/>
          </w:tcPr>
          <w:p>
            <w:pPr>
              <w:spacing w:before="0" w:after="0" w:line="252" w:lineRule="auto"/>
            </w:pPr>
            <w:r/>
            <w:r>
              <w:rPr>
                <w:rFonts w:ascii="Calibri" w:hAnsi="Calibri" w:eastAsia="Calibri"/>
                <w:b w:val="0"/>
                <w:sz w:val="18"/>
              </w:rPr>
              <w:t>Confirmed by Taiwan law</w:t>
            </w:r>
          </w:p>
        </w:tc>
      </w:tr>
      <w:tr>
        <w:tc>
          <w:tcPr>
            <w:tcW w:type="dxa" w:w="1850"/>
            <w:vAlign w:val="center"/>
          </w:tcPr>
          <w:p>
            <w:pPr>
              <w:spacing w:before="0" w:after="0" w:line="252" w:lineRule="auto"/>
            </w:pPr>
            <w:r/>
            <w:r>
              <w:rPr>
                <w:rFonts w:ascii="Calibri" w:hAnsi="Calibri" w:eastAsia="Calibri"/>
                <w:b/>
                <w:sz w:val="18"/>
              </w:rPr>
              <w:t>Initial programme</w:t>
            </w:r>
          </w:p>
        </w:tc>
        <w:tc>
          <w:tcPr>
            <w:tcW w:type="dxa" w:w="1700"/>
            <w:vAlign w:val="center"/>
          </w:tcPr>
          <w:p>
            <w:pPr>
              <w:spacing w:before="0" w:after="0" w:line="252" w:lineRule="auto"/>
            </w:pPr>
            <w:r/>
            <w:r>
              <w:rPr>
                <w:rFonts w:ascii="Calibri" w:hAnsi="Calibri" w:eastAsia="Calibri"/>
                <w:b w:val="0"/>
                <w:sz w:val="18"/>
              </w:rPr>
              <w:t>DMS</w:t>
            </w:r>
          </w:p>
        </w:tc>
        <w:tc>
          <w:tcPr>
            <w:tcW w:type="dxa" w:w="3950"/>
            <w:vAlign w:val="center"/>
          </w:tcPr>
          <w:p>
            <w:pPr>
              <w:spacing w:before="0" w:after="0" w:line="252" w:lineRule="auto"/>
            </w:pPr>
            <w:r/>
            <w:r>
              <w:rPr>
                <w:rFonts w:ascii="Calibri" w:hAnsi="Calibri" w:eastAsia="Calibri"/>
                <w:b w:val="0"/>
                <w:sz w:val="18"/>
              </w:rPr>
              <w:t>DMS has 15 modules, 630 contact hours, and 6/9 module OTC options.</w:t>
            </w:r>
          </w:p>
        </w:tc>
        <w:tc>
          <w:tcPr>
            <w:tcW w:type="dxa" w:w="1740"/>
            <w:vAlign w:val="center"/>
          </w:tcPr>
          <w:p>
            <w:pPr>
              <w:spacing w:before="0" w:after="0" w:line="252" w:lineRule="auto"/>
            </w:pPr>
            <w:r/>
            <w:r>
              <w:rPr>
                <w:rFonts w:ascii="Calibri" w:hAnsi="Calibri" w:eastAsia="Calibri"/>
                <w:b w:val="0"/>
                <w:sz w:val="18"/>
              </w:rPr>
              <w:t>Confirmed by SIM document</w:t>
            </w:r>
          </w:p>
        </w:tc>
      </w:tr>
      <w:tr>
        <w:tc>
          <w:tcPr>
            <w:tcW w:type="dxa" w:w="1850"/>
            <w:vAlign w:val="center"/>
          </w:tcPr>
          <w:p>
            <w:pPr>
              <w:spacing w:before="0" w:after="0" w:line="252" w:lineRule="auto"/>
            </w:pPr>
            <w:r/>
            <w:r>
              <w:rPr>
                <w:rFonts w:ascii="Calibri" w:hAnsi="Calibri" w:eastAsia="Calibri"/>
                <w:b/>
                <w:sz w:val="18"/>
              </w:rPr>
              <w:t>Staffing floor</w:t>
            </w:r>
          </w:p>
        </w:tc>
        <w:tc>
          <w:tcPr>
            <w:tcW w:type="dxa" w:w="1700"/>
            <w:vAlign w:val="center"/>
          </w:tcPr>
          <w:p>
            <w:pPr>
              <w:spacing w:before="0" w:after="0" w:line="252" w:lineRule="auto"/>
            </w:pPr>
            <w:r/>
            <w:r>
              <w:rPr>
                <w:rFonts w:ascii="Calibri" w:hAnsi="Calibri" w:eastAsia="Calibri"/>
                <w:b w:val="0"/>
                <w:sz w:val="18"/>
              </w:rPr>
              <w:t>3-5 faculty</w:t>
            </w:r>
          </w:p>
        </w:tc>
        <w:tc>
          <w:tcPr>
            <w:tcW w:type="dxa" w:w="3950"/>
            <w:vAlign w:val="center"/>
          </w:tcPr>
          <w:p>
            <w:pPr>
              <w:spacing w:before="0" w:after="0" w:line="252" w:lineRule="auto"/>
            </w:pPr>
            <w:r/>
            <w:r>
              <w:rPr>
                <w:rFonts w:ascii="Calibri" w:hAnsi="Calibri" w:eastAsia="Calibri"/>
                <w:b w:val="0"/>
                <w:sz w:val="18"/>
              </w:rPr>
              <w:t>Maximum two modules per teacher; 6 modules need at least 3, 9 modules need at least 5.</w:t>
            </w:r>
          </w:p>
        </w:tc>
        <w:tc>
          <w:tcPr>
            <w:tcW w:type="dxa" w:w="1740"/>
            <w:vAlign w:val="center"/>
          </w:tcPr>
          <w:p>
            <w:pPr>
              <w:spacing w:before="0" w:after="0" w:line="252" w:lineRule="auto"/>
            </w:pPr>
            <w:r/>
            <w:r>
              <w:rPr>
                <w:rFonts w:ascii="Calibri" w:hAnsi="Calibri" w:eastAsia="Calibri"/>
                <w:b w:val="0"/>
                <w:sz w:val="18"/>
              </w:rPr>
              <w:t>Confirmed by SIM document</w:t>
            </w:r>
          </w:p>
        </w:tc>
      </w:tr>
      <w:tr>
        <w:tc>
          <w:tcPr>
            <w:tcW w:type="dxa" w:w="1850"/>
            <w:vAlign w:val="center"/>
          </w:tcPr>
          <w:p>
            <w:pPr>
              <w:spacing w:before="0" w:after="0" w:line="252" w:lineRule="auto"/>
            </w:pPr>
            <w:r/>
            <w:r>
              <w:rPr>
                <w:rFonts w:ascii="Calibri" w:hAnsi="Calibri" w:eastAsia="Calibri"/>
                <w:b/>
                <w:sz w:val="18"/>
              </w:rPr>
              <w:t>Degree posture</w:t>
            </w:r>
          </w:p>
        </w:tc>
        <w:tc>
          <w:tcPr>
            <w:tcW w:type="dxa" w:w="1700"/>
            <w:vAlign w:val="center"/>
          </w:tcPr>
          <w:p>
            <w:pPr>
              <w:spacing w:before="0" w:after="0" w:line="252" w:lineRule="auto"/>
            </w:pPr>
            <w:r/>
            <w:r>
              <w:rPr>
                <w:rFonts w:ascii="Calibri" w:hAnsi="Calibri" w:eastAsia="Calibri"/>
                <w:b w:val="0"/>
                <w:sz w:val="18"/>
              </w:rPr>
              <w:t>Optional CGU return path</w:t>
            </w:r>
          </w:p>
        </w:tc>
        <w:tc>
          <w:tcPr>
            <w:tcW w:type="dxa" w:w="3950"/>
            <w:vAlign w:val="center"/>
          </w:tcPr>
          <w:p>
            <w:pPr>
              <w:spacing w:before="0" w:after="0" w:line="252" w:lineRule="auto"/>
            </w:pPr>
            <w:r/>
            <w:r>
              <w:rPr>
                <w:rFonts w:ascii="Calibri" w:hAnsi="Calibri" w:eastAsia="Calibri"/>
                <w:b w:val="0"/>
                <w:sz w:val="18"/>
              </w:rPr>
              <w:t>The CGU degree depends on credit/time and residency interpretation.</w:t>
            </w:r>
          </w:p>
        </w:tc>
        <w:tc>
          <w:tcPr>
            <w:tcW w:type="dxa" w:w="1740"/>
            <w:vAlign w:val="center"/>
          </w:tcPr>
          <w:p>
            <w:pPr>
              <w:spacing w:before="0" w:after="0" w:line="252" w:lineRule="auto"/>
            </w:pPr>
            <w:r/>
            <w:r>
              <w:rPr>
                <w:rFonts w:ascii="Calibri" w:hAnsi="Calibri" w:eastAsia="Calibri"/>
                <w:b w:val="0"/>
                <w:sz w:val="18"/>
              </w:rPr>
              <w:t>Pending CGU</w:t>
            </w:r>
          </w:p>
        </w:tc>
      </w:tr>
    </w:tbl>
    <w:p>
      <w:pPr>
        <w:spacing w:before="0" w:after="160" w:line="264" w:lineRule="auto"/>
      </w:pPr>
    </w:p>
    <w:p>
      <w:pPr>
        <w:pStyle w:val="Heading2"/>
        <w:spacing w:before="240" w:after="120" w:line="264" w:lineRule="auto"/>
      </w:pPr>
      <w:r>
        <w:rPr>
          <w:rFonts w:ascii="Calibri" w:hAnsi="Calibri" w:eastAsia="Calibri"/>
          <w:b/>
          <w:color w:val="2E74B5"/>
          <w:sz w:val="26"/>
        </w:rPr>
        <w:t>Top five risks</w:t>
      </w:r>
    </w:p>
    <w:p>
      <w:pPr>
        <w:pStyle w:val="ListBullet"/>
        <w:spacing w:before="0" w:after="80" w:line="264" w:lineRule="auto"/>
      </w:pPr>
      <w:r>
        <w:rPr>
          <w:rFonts w:ascii="Calibri" w:hAnsi="Calibri" w:eastAsia="Calibri"/>
          <w:sz w:val="22"/>
        </w:rPr>
        <w:t>Independent admissions permission may be denied by Taiwan's MOE.</w:t>
      </w:r>
    </w:p>
    <w:p>
      <w:pPr>
        <w:pStyle w:val="ListBullet"/>
        <w:spacing w:before="0" w:after="80" w:line="264" w:lineRule="auto"/>
      </w:pPr>
      <w:r>
        <w:rPr>
          <w:rFonts w:ascii="Calibri" w:hAnsi="Calibri" w:eastAsia="Calibri"/>
          <w:sz w:val="22"/>
        </w:rPr>
        <w:t>CGU/Taiwan credit or residence requirement may prevent an easy dual-degree story.</w:t>
      </w:r>
    </w:p>
    <w:p>
      <w:pPr>
        <w:pStyle w:val="ListBullet"/>
        <w:spacing w:before="0" w:after="80" w:line="264" w:lineRule="auto"/>
      </w:pPr>
      <w:r>
        <w:rPr>
          <w:rFonts w:ascii="Calibri" w:hAnsi="Calibri" w:eastAsia="Calibri"/>
          <w:sz w:val="22"/>
        </w:rPr>
        <w:t>Student status during overseas phase may require leave or withdrawal.</w:t>
      </w:r>
    </w:p>
    <w:p>
      <w:pPr>
        <w:pStyle w:val="ListBullet"/>
        <w:spacing w:before="0" w:after="80" w:line="264" w:lineRule="auto"/>
      </w:pPr>
      <w:r>
        <w:rPr>
          <w:rFonts w:ascii="Calibri" w:hAnsi="Calibri" w:eastAsia="Calibri"/>
          <w:sz w:val="22"/>
        </w:rPr>
        <w:t>NDA no-publicity clause constrains recruitment communications.</w:t>
      </w:r>
    </w:p>
    <w:p>
      <w:pPr>
        <w:pStyle w:val="ListBullet"/>
        <w:spacing w:before="0" w:after="80" w:line="264" w:lineRule="auto"/>
      </w:pPr>
      <w:r>
        <w:rPr>
          <w:rFonts w:ascii="Calibri" w:hAnsi="Calibri" w:eastAsia="Calibri"/>
          <w:sz w:val="22"/>
        </w:rPr>
        <w:t>Singapore governing law, jurisdiction, and PDPA may require escalation.</w:t>
      </w:r>
    </w:p>
    <w:p>
      <w:pPr>
        <w:pStyle w:val="Heading2"/>
        <w:spacing w:before="240" w:after="120" w:line="264" w:lineRule="auto"/>
      </w:pPr>
      <w:r>
        <w:rPr>
          <w:rFonts w:ascii="Calibri" w:hAnsi="Calibri" w:eastAsia="Calibri"/>
          <w:b/>
          <w:color w:val="2E74B5"/>
          <w:sz w:val="26"/>
        </w:rPr>
        <w:t>Near-term actions</w:t>
      </w:r>
    </w:p>
    <w:tbl>
      <w:tblPr>
        <w:tblStyle w:val="TableGrid"/>
        <w:tblW w:type="dxa" w:w="9360"/>
        <w:jc w:val="left"/>
        <w:tblLayout w:type="fixed"/>
        <w:tblLook w:firstColumn="1" w:firstRow="1" w:lastColumn="0" w:lastRow="0" w:noHBand="0" w:noVBand="1" w:val="04A0"/>
        <w:tblInd w:w="120" w:type="dxa"/>
      </w:tblPr>
      <w:tblGrid>
        <w:gridCol w:w="3050"/>
        <w:gridCol w:w="1850"/>
        <w:gridCol w:w="1600"/>
        <w:gridCol w:w="2860"/>
      </w:tblGrid>
      <w:tr>
        <w:tc>
          <w:tcPr>
            <w:tcW w:type="dxa" w:w="30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Action</w:t>
            </w:r>
          </w:p>
        </w:tc>
        <w:tc>
          <w:tcPr>
            <w:tcW w:type="dxa" w:w="18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Owner</w:t>
            </w:r>
          </w:p>
        </w:tc>
        <w:tc>
          <w:tcPr>
            <w:tcW w:type="dxa" w:w="16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Due</w:t>
            </w:r>
          </w:p>
        </w:tc>
        <w:tc>
          <w:tcPr>
            <w:tcW w:type="dxa" w:w="286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Dependency</w:t>
            </w:r>
          </w:p>
        </w:tc>
      </w:tr>
      <w:tr>
        <w:tc>
          <w:tcPr>
            <w:tcW w:type="dxa" w:w="3050"/>
            <w:vAlign w:val="center"/>
          </w:tcPr>
          <w:p>
            <w:pPr>
              <w:spacing w:before="0" w:after="0" w:line="252" w:lineRule="auto"/>
            </w:pPr>
            <w:r/>
            <w:r>
              <w:rPr>
                <w:rFonts w:ascii="Calibri" w:hAnsi="Calibri" w:eastAsia="Calibri"/>
                <w:b/>
                <w:sz w:val="17"/>
              </w:rPr>
              <w:t>Create task force and name accountable leads</w:t>
            </w:r>
          </w:p>
        </w:tc>
        <w:tc>
          <w:tcPr>
            <w:tcW w:type="dxa" w:w="1850"/>
            <w:vAlign w:val="center"/>
          </w:tcPr>
          <w:p>
            <w:pPr>
              <w:spacing w:before="0" w:after="0" w:line="252" w:lineRule="auto"/>
            </w:pPr>
            <w:r/>
            <w:r>
              <w:rPr>
                <w:rFonts w:ascii="Calibri" w:hAnsi="Calibri" w:eastAsia="Calibri"/>
                <w:b w:val="0"/>
                <w:sz w:val="17"/>
              </w:rPr>
              <w:t>Project sponsor or designee</w:t>
            </w:r>
          </w:p>
        </w:tc>
        <w:tc>
          <w:tcPr>
            <w:tcW w:type="dxa" w:w="1600"/>
            <w:vAlign w:val="center"/>
          </w:tcPr>
          <w:p>
            <w:pPr>
              <w:spacing w:before="0" w:after="0" w:line="252" w:lineRule="auto"/>
            </w:pPr>
            <w:r/>
            <w:r>
              <w:rPr>
                <w:rFonts w:ascii="Calibri" w:hAnsi="Calibri" w:eastAsia="Calibri"/>
                <w:b w:val="0"/>
                <w:sz w:val="17"/>
              </w:rPr>
              <w:t>Initiation phase</w:t>
            </w:r>
          </w:p>
        </w:tc>
        <w:tc>
          <w:tcPr>
            <w:tcW w:type="dxa" w:w="2860"/>
            <w:vAlign w:val="center"/>
          </w:tcPr>
          <w:p>
            <w:pPr>
              <w:spacing w:before="0" w:after="0" w:line="252" w:lineRule="auto"/>
            </w:pPr>
            <w:r/>
            <w:r>
              <w:rPr>
                <w:rFonts w:ascii="Calibri" w:hAnsi="Calibri" w:eastAsia="Calibri"/>
                <w:b w:val="0"/>
                <w:sz w:val="17"/>
              </w:rPr>
              <w:t>Leadership authorization</w:t>
            </w:r>
          </w:p>
        </w:tc>
      </w:tr>
      <w:tr>
        <w:tc>
          <w:tcPr>
            <w:tcW w:type="dxa" w:w="3050"/>
            <w:vAlign w:val="center"/>
          </w:tcPr>
          <w:p>
            <w:pPr>
              <w:spacing w:before="0" w:after="0" w:line="252" w:lineRule="auto"/>
            </w:pPr>
            <w:r/>
            <w:r>
              <w:rPr>
                <w:rFonts w:ascii="Calibri" w:hAnsi="Calibri" w:eastAsia="Calibri"/>
                <w:b/>
                <w:sz w:val="17"/>
              </w:rPr>
              <w:t>Confirm whether the student model requires independent admissions and MOE approval</w:t>
            </w:r>
          </w:p>
        </w:tc>
        <w:tc>
          <w:tcPr>
            <w:tcW w:type="dxa" w:w="1850"/>
            <w:vAlign w:val="center"/>
          </w:tcPr>
          <w:p>
            <w:pPr>
              <w:spacing w:before="0" w:after="0" w:line="252" w:lineRule="auto"/>
            </w:pPr>
            <w:r/>
            <w:r>
              <w:rPr>
                <w:rFonts w:ascii="Calibri" w:hAnsi="Calibri" w:eastAsia="Calibri"/>
                <w:b w:val="0"/>
                <w:sz w:val="17"/>
              </w:rPr>
              <w:t>Admissions / Academic Affairs</w:t>
            </w:r>
          </w:p>
        </w:tc>
        <w:tc>
          <w:tcPr>
            <w:tcW w:type="dxa" w:w="1600"/>
            <w:vAlign w:val="center"/>
          </w:tcPr>
          <w:p>
            <w:pPr>
              <w:spacing w:before="0" w:after="0" w:line="252" w:lineRule="auto"/>
            </w:pPr>
            <w:r/>
            <w:r>
              <w:rPr>
                <w:rFonts w:ascii="Calibri" w:hAnsi="Calibri" w:eastAsia="Calibri"/>
                <w:b w:val="0"/>
                <w:sz w:val="17"/>
              </w:rPr>
              <w:t>Policy-framing phase</w:t>
            </w:r>
          </w:p>
        </w:tc>
        <w:tc>
          <w:tcPr>
            <w:tcW w:type="dxa" w:w="2860"/>
            <w:vAlign w:val="center"/>
          </w:tcPr>
          <w:p>
            <w:pPr>
              <w:spacing w:before="0" w:after="0" w:line="252" w:lineRule="auto"/>
            </w:pPr>
            <w:r/>
            <w:r>
              <w:rPr>
                <w:rFonts w:ascii="Calibri" w:hAnsi="Calibri" w:eastAsia="Calibri"/>
                <w:b w:val="0"/>
                <w:sz w:val="17"/>
              </w:rPr>
              <w:t>University Act Article 24 and CGU admissions rules</w:t>
            </w:r>
          </w:p>
        </w:tc>
      </w:tr>
      <w:tr>
        <w:tc>
          <w:tcPr>
            <w:tcW w:type="dxa" w:w="3050"/>
            <w:vAlign w:val="center"/>
          </w:tcPr>
          <w:p>
            <w:pPr>
              <w:spacing w:before="0" w:after="0" w:line="252" w:lineRule="auto"/>
            </w:pPr>
            <w:r/>
            <w:r>
              <w:rPr>
                <w:rFonts w:ascii="Calibri" w:hAnsi="Calibri" w:eastAsia="Calibri"/>
                <w:b/>
                <w:sz w:val="17"/>
              </w:rPr>
              <w:t>Send NDA to legal review and identify signatory authority</w:t>
            </w:r>
          </w:p>
        </w:tc>
        <w:tc>
          <w:tcPr>
            <w:tcW w:type="dxa" w:w="1850"/>
            <w:vAlign w:val="center"/>
          </w:tcPr>
          <w:p>
            <w:pPr>
              <w:spacing w:before="0" w:after="0" w:line="252" w:lineRule="auto"/>
            </w:pPr>
            <w:r/>
            <w:r>
              <w:rPr>
                <w:rFonts w:ascii="Calibri" w:hAnsi="Calibri" w:eastAsia="Calibri"/>
                <w:b w:val="0"/>
                <w:sz w:val="17"/>
              </w:rPr>
              <w:t>Legal / International Affairs</w:t>
            </w:r>
          </w:p>
        </w:tc>
        <w:tc>
          <w:tcPr>
            <w:tcW w:type="dxa" w:w="1600"/>
            <w:vAlign w:val="center"/>
          </w:tcPr>
          <w:p>
            <w:pPr>
              <w:spacing w:before="0" w:after="0" w:line="252" w:lineRule="auto"/>
            </w:pPr>
            <w:r/>
            <w:r>
              <w:rPr>
                <w:rFonts w:ascii="Calibri" w:hAnsi="Calibri" w:eastAsia="Calibri"/>
                <w:b w:val="0"/>
                <w:sz w:val="17"/>
              </w:rPr>
              <w:t>Legal gate phase</w:t>
            </w:r>
          </w:p>
        </w:tc>
        <w:tc>
          <w:tcPr>
            <w:tcW w:type="dxa" w:w="2860"/>
            <w:vAlign w:val="center"/>
          </w:tcPr>
          <w:p>
            <w:pPr>
              <w:spacing w:before="0" w:after="0" w:line="252" w:lineRule="auto"/>
            </w:pPr>
            <w:r/>
            <w:r>
              <w:rPr>
                <w:rFonts w:ascii="Calibri" w:hAnsi="Calibri" w:eastAsia="Calibri"/>
                <w:b w:val="0"/>
                <w:sz w:val="17"/>
              </w:rPr>
              <w:t>NDA template and CGU delegation rules</w:t>
            </w:r>
          </w:p>
        </w:tc>
      </w:tr>
      <w:tr>
        <w:tc>
          <w:tcPr>
            <w:tcW w:type="dxa" w:w="3050"/>
            <w:vAlign w:val="center"/>
          </w:tcPr>
          <w:p>
            <w:pPr>
              <w:spacing w:before="0" w:after="0" w:line="252" w:lineRule="auto"/>
            </w:pPr>
            <w:r/>
            <w:r>
              <w:rPr>
                <w:rFonts w:ascii="Calibri" w:hAnsi="Calibri" w:eastAsia="Calibri"/>
                <w:b/>
                <w:sz w:val="17"/>
              </w:rPr>
              <w:t>Ask Academic Affairs to rule on credits, residence, student status, and 16+2 handling</w:t>
            </w:r>
          </w:p>
        </w:tc>
        <w:tc>
          <w:tcPr>
            <w:tcW w:type="dxa" w:w="1850"/>
            <w:vAlign w:val="center"/>
          </w:tcPr>
          <w:p>
            <w:pPr>
              <w:spacing w:before="0" w:after="0" w:line="252" w:lineRule="auto"/>
            </w:pPr>
            <w:r/>
            <w:r>
              <w:rPr>
                <w:rFonts w:ascii="Calibri" w:hAnsi="Calibri" w:eastAsia="Calibri"/>
                <w:b w:val="0"/>
                <w:sz w:val="17"/>
              </w:rPr>
              <w:t>Academic Affairs</w:t>
            </w:r>
          </w:p>
        </w:tc>
        <w:tc>
          <w:tcPr>
            <w:tcW w:type="dxa" w:w="1600"/>
            <w:vAlign w:val="center"/>
          </w:tcPr>
          <w:p>
            <w:pPr>
              <w:spacing w:before="0" w:after="0" w:line="252" w:lineRule="auto"/>
            </w:pPr>
            <w:r/>
            <w:r>
              <w:rPr>
                <w:rFonts w:ascii="Calibri" w:hAnsi="Calibri" w:eastAsia="Calibri"/>
                <w:b w:val="0"/>
                <w:sz w:val="17"/>
              </w:rPr>
              <w:t>Academic rules phase</w:t>
            </w:r>
          </w:p>
        </w:tc>
        <w:tc>
          <w:tcPr>
            <w:tcW w:type="dxa" w:w="2860"/>
            <w:vAlign w:val="center"/>
          </w:tcPr>
          <w:p>
            <w:pPr>
              <w:spacing w:before="0" w:after="0" w:line="252" w:lineRule="auto"/>
            </w:pPr>
            <w:r/>
            <w:r>
              <w:rPr>
                <w:rFonts w:ascii="Calibri" w:hAnsi="Calibri" w:eastAsia="Calibri"/>
                <w:b w:val="0"/>
                <w:sz w:val="17"/>
              </w:rPr>
              <w:t>June 9 conversation facts and DMS contact-hour data</w:t>
            </w:r>
          </w:p>
        </w:tc>
      </w:tr>
      <w:tr>
        <w:tc>
          <w:tcPr>
            <w:tcW w:type="dxa" w:w="3050"/>
            <w:vAlign w:val="center"/>
          </w:tcPr>
          <w:p>
            <w:pPr>
              <w:spacing w:before="0" w:after="0" w:line="252" w:lineRule="auto"/>
            </w:pPr>
            <w:r/>
            <w:r>
              <w:rPr>
                <w:rFonts w:ascii="Calibri" w:hAnsi="Calibri" w:eastAsia="Calibri"/>
                <w:b/>
                <w:sz w:val="17"/>
              </w:rPr>
              <w:t>Inventory English-medium faculty for the first 6 and 9 DMS-module scenarios</w:t>
            </w:r>
          </w:p>
        </w:tc>
        <w:tc>
          <w:tcPr>
            <w:tcW w:type="dxa" w:w="1850"/>
            <w:vAlign w:val="center"/>
          </w:tcPr>
          <w:p>
            <w:pPr>
              <w:spacing w:before="0" w:after="0" w:line="252" w:lineRule="auto"/>
            </w:pPr>
            <w:r/>
            <w:r>
              <w:rPr>
                <w:rFonts w:ascii="Calibri" w:hAnsi="Calibri" w:eastAsia="Calibri"/>
                <w:b w:val="0"/>
                <w:sz w:val="17"/>
              </w:rPr>
              <w:t>Academic lead / Staffing lead</w:t>
            </w:r>
          </w:p>
        </w:tc>
        <w:tc>
          <w:tcPr>
            <w:tcW w:type="dxa" w:w="1600"/>
            <w:vAlign w:val="center"/>
          </w:tcPr>
          <w:p>
            <w:pPr>
              <w:spacing w:before="0" w:after="0" w:line="252" w:lineRule="auto"/>
            </w:pPr>
            <w:r/>
            <w:r>
              <w:rPr>
                <w:rFonts w:ascii="Calibri" w:hAnsi="Calibri" w:eastAsia="Calibri"/>
                <w:b w:val="0"/>
                <w:sz w:val="17"/>
              </w:rPr>
              <w:t>Application-preparation phase</w:t>
            </w:r>
          </w:p>
        </w:tc>
        <w:tc>
          <w:tcPr>
            <w:tcW w:type="dxa" w:w="2860"/>
            <w:vAlign w:val="center"/>
          </w:tcPr>
          <w:p>
            <w:pPr>
              <w:spacing w:before="0" w:after="0" w:line="252" w:lineRule="auto"/>
            </w:pPr>
            <w:r/>
            <w:r>
              <w:rPr>
                <w:rFonts w:ascii="Calibri" w:hAnsi="Calibri" w:eastAsia="Calibri"/>
                <w:b w:val="0"/>
                <w:sz w:val="17"/>
              </w:rPr>
              <w:t>Teaching profile forms, CVs, certificates, transcripts</w:t>
            </w:r>
          </w:p>
        </w:tc>
      </w:tr>
      <w:tr>
        <w:tc>
          <w:tcPr>
            <w:tcW w:type="dxa" w:w="3050"/>
            <w:vAlign w:val="center"/>
          </w:tcPr>
          <w:p>
            <w:pPr>
              <w:spacing w:before="0" w:after="0" w:line="252" w:lineRule="auto"/>
            </w:pPr>
            <w:r/>
            <w:r>
              <w:rPr>
                <w:rFonts w:ascii="Calibri" w:hAnsi="Calibri" w:eastAsia="Calibri"/>
                <w:b/>
                <w:sz w:val="17"/>
              </w:rPr>
              <w:t>Prepare SIM clarification list for post-NDA Annex review</w:t>
            </w:r>
          </w:p>
        </w:tc>
        <w:tc>
          <w:tcPr>
            <w:tcW w:type="dxa" w:w="1850"/>
            <w:vAlign w:val="center"/>
          </w:tcPr>
          <w:p>
            <w:pPr>
              <w:spacing w:before="0" w:after="0" w:line="252" w:lineRule="auto"/>
            </w:pPr>
            <w:r/>
            <w:r>
              <w:rPr>
                <w:rFonts w:ascii="Calibri" w:hAnsi="Calibri" w:eastAsia="Calibri"/>
                <w:b w:val="0"/>
                <w:sz w:val="17"/>
              </w:rPr>
              <w:t>SIM liaison</w:t>
            </w:r>
          </w:p>
        </w:tc>
        <w:tc>
          <w:tcPr>
            <w:tcW w:type="dxa" w:w="1600"/>
            <w:vAlign w:val="center"/>
          </w:tcPr>
          <w:p>
            <w:pPr>
              <w:spacing w:before="0" w:after="0" w:line="252" w:lineRule="auto"/>
            </w:pPr>
            <w:r/>
            <w:r>
              <w:rPr>
                <w:rFonts w:ascii="Calibri" w:hAnsi="Calibri" w:eastAsia="Calibri"/>
                <w:b w:val="0"/>
                <w:sz w:val="17"/>
              </w:rPr>
              <w:t>SIM clarification phase</w:t>
            </w:r>
          </w:p>
        </w:tc>
        <w:tc>
          <w:tcPr>
            <w:tcW w:type="dxa" w:w="2860"/>
            <w:vAlign w:val="center"/>
          </w:tcPr>
          <w:p>
            <w:pPr>
              <w:spacing w:before="0" w:after="0" w:line="252" w:lineRule="auto"/>
            </w:pPr>
            <w:r/>
            <w:r>
              <w:rPr>
                <w:rFonts w:ascii="Calibri" w:hAnsi="Calibri" w:eastAsia="Calibri"/>
                <w:b w:val="0"/>
                <w:sz w:val="17"/>
              </w:rPr>
              <w:t>Legal clearance to receive Annexes</w:t>
            </w:r>
          </w:p>
        </w:tc>
      </w:tr>
    </w:tbl>
    <w:p>
      <w:pPr>
        <w:spacing w:before="0" w:after="160" w:line="264" w:lineRule="auto"/>
      </w:pPr>
    </w:p>
    <w:p>
      <w:r>
        <w:br w:type="page"/>
      </w:r>
    </w:p>
    <w:p>
      <w:bookmarkStart w:id="2" w:name="toc_architecture"/>
      <w:pPr>
        <w:pStyle w:val="Heading1"/>
        <w:spacing w:before="320" w:after="160" w:line="264" w:lineRule="auto"/>
      </w:pPr>
      <w:r>
        <w:rPr>
          <w:rFonts w:ascii="Calibri" w:hAnsi="Calibri" w:eastAsia="Calibri"/>
          <w:b/>
          <w:color w:val="2E74B5"/>
          <w:sz w:val="32"/>
        </w:rPr>
        <w:t>Collaboration Architecture</w:t>
      </w:r>
      <w:bookmarkEnd w:id="2"/>
    </w:p>
    <w:p>
      <w:pPr>
        <w:spacing w:before="0" w:after="120" w:line="264" w:lineRule="auto"/>
      </w:pPr>
      <w:r>
        <w:rPr>
          <w:rFonts w:ascii="Calibri" w:hAnsi="Calibri" w:eastAsia="Calibri"/>
          <w:b w:val="0"/>
          <w:sz w:val="22"/>
        </w:rPr>
        <w:t>CGU should treat the OTC application and Taiwan admissions permission as parallel foundations. The student pathway and optional CGU degree design should be built only after CGU confirms credit, status, legal, staffing, and MOE conditions.</w:t>
      </w:r>
    </w:p>
    <w:p>
      <w:pPr>
        <w:pStyle w:val="Heading2"/>
        <w:spacing w:before="240" w:after="120" w:line="264" w:lineRule="auto"/>
      </w:pPr>
      <w:r>
        <w:rPr>
          <w:rFonts w:ascii="Calibri" w:hAnsi="Calibri" w:eastAsia="Calibri"/>
          <w:b/>
          <w:color w:val="2E74B5"/>
          <w:sz w:val="26"/>
        </w:rPr>
        <w:t>Foundation layer: SIM Overseas Teaching Centre</w:t>
      </w:r>
    </w:p>
    <w:p>
      <w:pPr>
        <w:spacing w:before="0" w:after="120" w:line="264" w:lineRule="auto"/>
      </w:pPr>
      <w:r>
        <w:rPr>
          <w:rFonts w:ascii="Calibri" w:hAnsi="Calibri" w:eastAsia="Calibri"/>
          <w:b w:val="0"/>
          <w:sz w:val="22"/>
        </w:rPr>
        <w:t>CGU applies to deliver approved SIM diploma modules in Taiwan under SIM quality standards.</w:t>
      </w:r>
    </w:p>
    <w:p>
      <w:pPr>
        <w:pStyle w:val="Heading3"/>
        <w:spacing w:before="160" w:after="80" w:line="264" w:lineRule="auto"/>
      </w:pPr>
      <w:r>
        <w:rPr>
          <w:rFonts w:ascii="Calibri" w:hAnsi="Calibri" w:eastAsia="Calibri"/>
          <w:b/>
          <w:color w:val="1F4D78"/>
          <w:sz w:val="24"/>
        </w:rPr>
        <w:t>Confirmed</w:t>
      </w:r>
    </w:p>
    <w:p>
      <w:pPr>
        <w:pStyle w:val="ListBullet"/>
        <w:spacing w:before="0" w:after="80" w:line="264" w:lineRule="auto"/>
      </w:pPr>
      <w:r>
        <w:rPr>
          <w:rFonts w:ascii="Calibri" w:hAnsi="Calibri" w:eastAsia="Calibri"/>
          <w:sz w:val="22"/>
        </w:rPr>
        <w:t>OTC application form is required</w:t>
      </w:r>
    </w:p>
    <w:p>
      <w:pPr>
        <w:pStyle w:val="ListBullet"/>
        <w:spacing w:before="0" w:after="80" w:line="264" w:lineRule="auto"/>
      </w:pPr>
      <w:r>
        <w:rPr>
          <w:rFonts w:ascii="Calibri" w:hAnsi="Calibri" w:eastAsia="Calibri"/>
          <w:sz w:val="22"/>
        </w:rPr>
        <w:t>SIM reviews application and may conduct onsite audit</w:t>
      </w:r>
    </w:p>
    <w:p>
      <w:pPr>
        <w:pStyle w:val="ListBullet"/>
        <w:spacing w:before="0" w:after="80" w:line="264" w:lineRule="auto"/>
      </w:pPr>
      <w:r>
        <w:rPr>
          <w:rFonts w:ascii="Calibri" w:hAnsi="Calibri" w:eastAsia="Calibri"/>
          <w:sz w:val="22"/>
        </w:rPr>
        <w:t>Formal agreement is due within 180 days after SIM approval</w:t>
      </w:r>
    </w:p>
    <w:p>
      <w:pPr>
        <w:pStyle w:val="Heading3"/>
        <w:spacing w:before="160" w:after="80" w:line="264" w:lineRule="auto"/>
      </w:pPr>
      <w:r>
        <w:rPr>
          <w:rFonts w:ascii="Calibri" w:hAnsi="Calibri" w:eastAsia="Calibri"/>
          <w:b/>
          <w:color w:val="1F4D78"/>
          <w:sz w:val="24"/>
        </w:rPr>
        <w:t>Unresolved</w:t>
      </w:r>
    </w:p>
    <w:p>
      <w:pPr>
        <w:pStyle w:val="ListBullet"/>
        <w:spacing w:before="0" w:after="80" w:line="264" w:lineRule="auto"/>
      </w:pPr>
      <w:r>
        <w:rPr>
          <w:rFonts w:ascii="Calibri" w:hAnsi="Calibri" w:eastAsia="Calibri"/>
          <w:sz w:val="22"/>
        </w:rPr>
        <w:t>Exact Annex 1-3 operating terms</w:t>
      </w:r>
    </w:p>
    <w:p>
      <w:pPr>
        <w:pStyle w:val="ListBullet"/>
        <w:spacing w:before="0" w:after="80" w:line="264" w:lineRule="auto"/>
      </w:pPr>
      <w:r>
        <w:rPr>
          <w:rFonts w:ascii="Calibri" w:hAnsi="Calibri" w:eastAsia="Calibri"/>
          <w:sz w:val="22"/>
        </w:rPr>
        <w:t>Fees and revenue share</w:t>
      </w:r>
    </w:p>
    <w:p>
      <w:pPr>
        <w:pStyle w:val="ListBullet"/>
        <w:spacing w:before="0" w:after="80" w:line="264" w:lineRule="auto"/>
      </w:pPr>
      <w:r>
        <w:rPr>
          <w:rFonts w:ascii="Calibri" w:hAnsi="Calibri" w:eastAsia="Calibri"/>
          <w:sz w:val="22"/>
        </w:rPr>
        <w:t>Minimum cohort size for post-cohort accreditation</w:t>
      </w:r>
    </w:p>
    <w:p>
      <w:pPr>
        <w:pStyle w:val="Heading2"/>
        <w:spacing w:before="240" w:after="120" w:line="264" w:lineRule="auto"/>
      </w:pPr>
      <w:r>
        <w:rPr>
          <w:rFonts w:ascii="Calibri" w:hAnsi="Calibri" w:eastAsia="Calibri"/>
          <w:b/>
          <w:color w:val="2E74B5"/>
          <w:sz w:val="26"/>
        </w:rPr>
        <w:t>Strategic pathway layer: admissions and progression</w:t>
      </w:r>
    </w:p>
    <w:p>
      <w:pPr>
        <w:spacing w:before="0" w:after="120" w:line="264" w:lineRule="auto"/>
      </w:pPr>
      <w:r>
        <w:rPr>
          <w:rFonts w:ascii="Calibri" w:hAnsi="Calibri" w:eastAsia="Calibri"/>
          <w:b w:val="0"/>
          <w:sz w:val="22"/>
        </w:rPr>
        <w:t>CGU may recruit students through an independent admissions model, combine CGU registration with SIM offer, and design progression to SIM Singapore and partner universities.</w:t>
      </w:r>
    </w:p>
    <w:p>
      <w:pPr>
        <w:pStyle w:val="Heading3"/>
        <w:spacing w:before="160" w:after="80" w:line="264" w:lineRule="auto"/>
      </w:pPr>
      <w:r>
        <w:rPr>
          <w:rFonts w:ascii="Calibri" w:hAnsi="Calibri" w:eastAsia="Calibri"/>
          <w:b/>
          <w:color w:val="1F4D78"/>
          <w:sz w:val="24"/>
        </w:rPr>
        <w:t>Confirmed</w:t>
      </w:r>
    </w:p>
    <w:p>
      <w:pPr>
        <w:pStyle w:val="ListBullet"/>
        <w:spacing w:before="0" w:after="80" w:line="264" w:lineRule="auto"/>
      </w:pPr>
      <w:r>
        <w:rPr>
          <w:rFonts w:ascii="Calibri" w:hAnsi="Calibri" w:eastAsia="Calibri"/>
          <w:sz w:val="22"/>
        </w:rPr>
        <w:t>June 9 conversation supports use of CGU admissions and SIM additional offer</w:t>
      </w:r>
    </w:p>
    <w:p>
      <w:pPr>
        <w:pStyle w:val="ListBullet"/>
        <w:spacing w:before="0" w:after="80" w:line="264" w:lineRule="auto"/>
      </w:pPr>
      <w:r>
        <w:rPr>
          <w:rFonts w:ascii="Calibri" w:hAnsi="Calibri" w:eastAsia="Calibri"/>
          <w:sz w:val="22"/>
        </w:rPr>
        <w:t>Students initially register at CGU</w:t>
      </w:r>
    </w:p>
    <w:p>
      <w:pPr>
        <w:pStyle w:val="ListBullet"/>
        <w:spacing w:before="0" w:after="80" w:line="264" w:lineRule="auto"/>
      </w:pPr>
      <w:r>
        <w:rPr>
          <w:rFonts w:ascii="Calibri" w:hAnsi="Calibri" w:eastAsia="Calibri"/>
          <w:sz w:val="22"/>
        </w:rPr>
        <w:t>Parallel recruitment outside regular 學測/分科 paths likely requires a distinct admissions rule</w:t>
      </w:r>
    </w:p>
    <w:p>
      <w:pPr>
        <w:pStyle w:val="Heading3"/>
        <w:spacing w:before="160" w:after="80" w:line="264" w:lineRule="auto"/>
      </w:pPr>
      <w:r>
        <w:rPr>
          <w:rFonts w:ascii="Calibri" w:hAnsi="Calibri" w:eastAsia="Calibri"/>
          <w:b/>
          <w:color w:val="1F4D78"/>
          <w:sz w:val="24"/>
        </w:rPr>
        <w:t>Unresolved</w:t>
      </w:r>
    </w:p>
    <w:p>
      <w:pPr>
        <w:pStyle w:val="ListBullet"/>
        <w:spacing w:before="0" w:after="80" w:line="264" w:lineRule="auto"/>
      </w:pPr>
      <w:r>
        <w:rPr>
          <w:rFonts w:ascii="Calibri" w:hAnsi="Calibri" w:eastAsia="Calibri"/>
          <w:sz w:val="22"/>
        </w:rPr>
        <w:t>MOE permission for independent admissions</w:t>
      </w:r>
    </w:p>
    <w:p>
      <w:pPr>
        <w:pStyle w:val="ListBullet"/>
        <w:spacing w:before="0" w:after="80" w:line="264" w:lineRule="auto"/>
      </w:pPr>
      <w:r>
        <w:rPr>
          <w:rFonts w:ascii="Calibri" w:hAnsi="Calibri" w:eastAsia="Calibri"/>
          <w:sz w:val="22"/>
        </w:rPr>
        <w:t>Student status during Singapore phase</w:t>
      </w:r>
    </w:p>
    <w:p>
      <w:pPr>
        <w:pStyle w:val="ListBullet"/>
        <w:spacing w:before="0" w:after="80" w:line="264" w:lineRule="auto"/>
      </w:pPr>
      <w:r>
        <w:rPr>
          <w:rFonts w:ascii="Calibri" w:hAnsi="Calibri" w:eastAsia="Calibri"/>
          <w:sz w:val="22"/>
        </w:rPr>
        <w:t>Credit/time rule for CGU degree</w:t>
      </w:r>
    </w:p>
    <w:p>
      <w:pPr>
        <w:pStyle w:val="ListBullet"/>
        <w:spacing w:before="0" w:after="80" w:line="264" w:lineRule="auto"/>
      </w:pPr>
      <w:r>
        <w:rPr>
          <w:rFonts w:ascii="Calibri" w:hAnsi="Calibri" w:eastAsia="Calibri"/>
          <w:sz w:val="22"/>
        </w:rPr>
        <w:t>Public recruitment wording before SIM and MOE permission</w:t>
      </w:r>
    </w:p>
    <w:p>
      <w:pPr>
        <w:pStyle w:val="Heading2"/>
        <w:spacing w:before="240" w:after="120" w:line="264" w:lineRule="auto"/>
      </w:pPr>
      <w:r>
        <w:rPr>
          <w:rFonts w:ascii="Calibri" w:hAnsi="Calibri" w:eastAsia="Calibri"/>
          <w:b/>
          <w:color w:val="2E74B5"/>
          <w:sz w:val="26"/>
        </w:rPr>
        <w:t>Regulatory layer: Taiwan admissions approval</w:t>
      </w:r>
    </w:p>
    <w:p>
      <w:pPr>
        <w:spacing w:before="0" w:after="120" w:line="264" w:lineRule="auto"/>
      </w:pPr>
      <w:r>
        <w:rPr>
          <w:rFonts w:ascii="Calibri" w:hAnsi="Calibri" w:eastAsia="Calibri"/>
          <w:b w:val="0"/>
          <w:sz w:val="22"/>
        </w:rPr>
        <w:t>Because students would be recruited in parallel with regular routes and pay a different tuition model, CGU must treat independent admissions approval as a go/no-go condition.</w:t>
      </w:r>
    </w:p>
    <w:p>
      <w:pPr>
        <w:pStyle w:val="Heading3"/>
        <w:spacing w:before="160" w:after="80" w:line="264" w:lineRule="auto"/>
      </w:pPr>
      <w:r>
        <w:rPr>
          <w:rFonts w:ascii="Calibri" w:hAnsi="Calibri" w:eastAsia="Calibri"/>
          <w:b/>
          <w:color w:val="1F4D78"/>
          <w:sz w:val="24"/>
        </w:rPr>
        <w:t>Confirmed</w:t>
      </w:r>
    </w:p>
    <w:p>
      <w:pPr>
        <w:pStyle w:val="ListBullet"/>
        <w:spacing w:before="0" w:after="80" w:line="264" w:lineRule="auto"/>
      </w:pPr>
      <w:r>
        <w:rPr>
          <w:rFonts w:ascii="Calibri" w:hAnsi="Calibri" w:eastAsia="Calibri"/>
          <w:sz w:val="22"/>
        </w:rPr>
        <w:t>University Act Article 24 requires university admissions rules to be submitted to MOE for approval before implementation</w:t>
      </w:r>
    </w:p>
    <w:p>
      <w:pPr>
        <w:pStyle w:val="ListBullet"/>
        <w:spacing w:before="0" w:after="80" w:line="264" w:lineRule="auto"/>
      </w:pPr>
      <w:r>
        <w:rPr>
          <w:rFonts w:ascii="Calibri" w:hAnsi="Calibri" w:eastAsia="Calibri"/>
          <w:sz w:val="22"/>
        </w:rPr>
        <w:t>A rejected MOE application would stop the student-recruitment collaboration even if SIM review proceeds</w:t>
      </w:r>
    </w:p>
    <w:p>
      <w:pPr>
        <w:pStyle w:val="Heading3"/>
        <w:spacing w:before="160" w:after="80" w:line="264" w:lineRule="auto"/>
      </w:pPr>
      <w:r>
        <w:rPr>
          <w:rFonts w:ascii="Calibri" w:hAnsi="Calibri" w:eastAsia="Calibri"/>
          <w:b/>
          <w:color w:val="1F4D78"/>
          <w:sz w:val="24"/>
        </w:rPr>
        <w:t>Unresolved</w:t>
      </w:r>
    </w:p>
    <w:p>
      <w:pPr>
        <w:pStyle w:val="ListBullet"/>
        <w:spacing w:before="0" w:after="80" w:line="264" w:lineRule="auto"/>
      </w:pPr>
      <w:r>
        <w:rPr>
          <w:rFonts w:ascii="Calibri" w:hAnsi="Calibri" w:eastAsia="Calibri"/>
          <w:sz w:val="22"/>
        </w:rPr>
        <w:t>Whether CGU should apply through a special project, programme-specific admissions rule, or another approved mechanism</w:t>
      </w:r>
    </w:p>
    <w:p>
      <w:pPr>
        <w:pStyle w:val="ListBullet"/>
        <w:spacing w:before="0" w:after="80" w:line="264" w:lineRule="auto"/>
      </w:pPr>
      <w:r>
        <w:rPr>
          <w:rFonts w:ascii="Calibri" w:hAnsi="Calibri" w:eastAsia="Calibri"/>
          <w:sz w:val="22"/>
        </w:rPr>
        <w:t>How tuition, quota, student status, and SIM progression should be represented in the MOE submission</w:t>
      </w:r>
    </w:p>
    <w:p>
      <w:bookmarkStart w:id="3" w:name="toc_documents"/>
      <w:pPr>
        <w:pStyle w:val="Heading1"/>
        <w:spacing w:before="320" w:after="160" w:line="264" w:lineRule="auto"/>
      </w:pPr>
      <w:r>
        <w:rPr>
          <w:rFonts w:ascii="Calibri" w:hAnsi="Calibri" w:eastAsia="Calibri"/>
          <w:b/>
          <w:color w:val="2E74B5"/>
          <w:sz w:val="32"/>
        </w:rPr>
        <w:t>Document Map</w:t>
      </w:r>
      <w:bookmarkEnd w:id="3"/>
    </w:p>
    <w:tbl>
      <w:tblPr>
        <w:tblStyle w:val="TableGrid"/>
        <w:tblW w:type="dxa" w:w="9360"/>
        <w:jc w:val="left"/>
        <w:tblLayout w:type="fixed"/>
        <w:tblLook w:firstColumn="1" w:firstRow="1" w:lastColumn="0" w:lastRow="0" w:noHBand="0" w:noVBand="1" w:val="04A0"/>
        <w:tblInd w:w="120" w:type="dxa"/>
      </w:tblPr>
      <w:tblGrid>
        <w:gridCol w:w="2100"/>
        <w:gridCol w:w="1550"/>
        <w:gridCol w:w="2850"/>
        <w:gridCol w:w="1350"/>
        <w:gridCol w:w="1510"/>
      </w:tblGrid>
      <w:tr>
        <w:tc>
          <w:tcPr>
            <w:tcW w:type="dxa" w:w="21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Document</w:t>
            </w:r>
          </w:p>
        </w:tc>
        <w:tc>
          <w:tcPr>
            <w:tcW w:type="dxa" w:w="15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Role</w:t>
            </w:r>
          </w:p>
        </w:tc>
        <w:tc>
          <w:tcPr>
            <w:tcW w:type="dxa" w:w="28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Action</w:t>
            </w:r>
          </w:p>
        </w:tc>
        <w:tc>
          <w:tcPr>
            <w:tcW w:type="dxa" w:w="13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Owner</w:t>
            </w:r>
          </w:p>
        </w:tc>
        <w:tc>
          <w:tcPr>
            <w:tcW w:type="dxa" w:w="151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Dependency</w:t>
            </w:r>
          </w:p>
        </w:tc>
      </w:tr>
      <w:tr>
        <w:tc>
          <w:tcPr>
            <w:tcW w:type="dxa" w:w="2100"/>
            <w:vAlign w:val="center"/>
          </w:tcPr>
          <w:p>
            <w:pPr>
              <w:spacing w:before="0" w:after="0" w:line="252" w:lineRule="auto"/>
            </w:pPr>
            <w:r/>
            <w:r>
              <w:rPr>
                <w:rFonts w:ascii="Calibri" w:hAnsi="Calibri" w:eastAsia="Calibri"/>
                <w:b/>
                <w:sz w:val="16"/>
              </w:rPr>
              <w:t>Diploma_Business OTC Application Guide_11Sep2025.docx</w:t>
            </w:r>
          </w:p>
        </w:tc>
        <w:tc>
          <w:tcPr>
            <w:tcW w:type="dxa" w:w="1550"/>
            <w:vAlign w:val="center"/>
          </w:tcPr>
          <w:p>
            <w:pPr>
              <w:spacing w:before="0" w:after="0" w:line="252" w:lineRule="auto"/>
            </w:pPr>
            <w:r/>
            <w:r>
              <w:rPr>
                <w:rFonts w:ascii="Calibri" w:hAnsi="Calibri" w:eastAsia="Calibri"/>
                <w:b w:val="0"/>
                <w:sz w:val="16"/>
              </w:rPr>
              <w:t>OTC process authority</w:t>
            </w:r>
          </w:p>
        </w:tc>
        <w:tc>
          <w:tcPr>
            <w:tcW w:type="dxa" w:w="2850"/>
            <w:vAlign w:val="center"/>
          </w:tcPr>
          <w:p>
            <w:pPr>
              <w:spacing w:before="0" w:after="0" w:line="252" w:lineRule="auto"/>
            </w:pPr>
            <w:r/>
            <w:r>
              <w:rPr>
                <w:rFonts w:ascii="Calibri" w:hAnsi="Calibri" w:eastAsia="Calibri"/>
                <w:b w:val="0"/>
                <w:sz w:val="16"/>
              </w:rPr>
              <w:t>Translate process into CGU gate plan and request Annexes after NDA.</w:t>
            </w:r>
          </w:p>
        </w:tc>
        <w:tc>
          <w:tcPr>
            <w:tcW w:type="dxa" w:w="1350"/>
            <w:vAlign w:val="center"/>
          </w:tcPr>
          <w:p>
            <w:pPr>
              <w:spacing w:before="0" w:after="0" w:line="252" w:lineRule="auto"/>
            </w:pPr>
            <w:r/>
            <w:r>
              <w:rPr>
                <w:rFonts w:ascii="Calibri" w:hAnsi="Calibri" w:eastAsia="Calibri"/>
                <w:b w:val="0"/>
                <w:sz w:val="16"/>
              </w:rPr>
              <w:t>SIM liaison</w:t>
            </w:r>
          </w:p>
        </w:tc>
        <w:tc>
          <w:tcPr>
            <w:tcW w:type="dxa" w:w="1510"/>
            <w:vAlign w:val="center"/>
          </w:tcPr>
          <w:p>
            <w:pPr>
              <w:spacing w:before="0" w:after="0" w:line="252" w:lineRule="auto"/>
            </w:pPr>
            <w:r/>
            <w:r>
              <w:rPr>
                <w:rFonts w:ascii="Calibri" w:hAnsi="Calibri" w:eastAsia="Calibri"/>
                <w:b w:val="0"/>
                <w:sz w:val="16"/>
              </w:rPr>
              <w:t>NDA signature for Annexes</w:t>
            </w:r>
          </w:p>
        </w:tc>
      </w:tr>
      <w:tr>
        <w:tc>
          <w:tcPr>
            <w:tcW w:type="dxa" w:w="2100"/>
            <w:vAlign w:val="center"/>
          </w:tcPr>
          <w:p>
            <w:pPr>
              <w:spacing w:before="0" w:after="0" w:line="252" w:lineRule="auto"/>
            </w:pPr>
            <w:r/>
            <w:r>
              <w:rPr>
                <w:rFonts w:ascii="Calibri" w:hAnsi="Calibri" w:eastAsia="Calibri"/>
                <w:b/>
                <w:sz w:val="16"/>
              </w:rPr>
              <w:t>Application Form_10Nov25.docx</w:t>
            </w:r>
          </w:p>
        </w:tc>
        <w:tc>
          <w:tcPr>
            <w:tcW w:type="dxa" w:w="1550"/>
            <w:vAlign w:val="center"/>
          </w:tcPr>
          <w:p>
            <w:pPr>
              <w:spacing w:before="0" w:after="0" w:line="252" w:lineRule="auto"/>
            </w:pPr>
            <w:r/>
            <w:r>
              <w:rPr>
                <w:rFonts w:ascii="Calibri" w:hAnsi="Calibri" w:eastAsia="Calibri"/>
                <w:b w:val="0"/>
                <w:sz w:val="16"/>
              </w:rPr>
              <w:t>Formal OTC application</w:t>
            </w:r>
          </w:p>
        </w:tc>
        <w:tc>
          <w:tcPr>
            <w:tcW w:type="dxa" w:w="2850"/>
            <w:vAlign w:val="center"/>
          </w:tcPr>
          <w:p>
            <w:pPr>
              <w:spacing w:before="0" w:after="0" w:line="252" w:lineRule="auto"/>
            </w:pPr>
            <w:r/>
            <w:r>
              <w:rPr>
                <w:rFonts w:ascii="Calibri" w:hAnsi="Calibri" w:eastAsia="Calibri"/>
                <w:b w:val="0"/>
                <w:sz w:val="16"/>
              </w:rPr>
              <w:t>Build evidence pack across OTC identity, delivery plan, staffing, facilities, recruitment, and projections.</w:t>
            </w:r>
          </w:p>
        </w:tc>
        <w:tc>
          <w:tcPr>
            <w:tcW w:type="dxa" w:w="1350"/>
            <w:vAlign w:val="center"/>
          </w:tcPr>
          <w:p>
            <w:pPr>
              <w:spacing w:before="0" w:after="0" w:line="252" w:lineRule="auto"/>
            </w:pPr>
            <w:r/>
            <w:r>
              <w:rPr>
                <w:rFonts w:ascii="Calibri" w:hAnsi="Calibri" w:eastAsia="Calibri"/>
                <w:b w:val="0"/>
                <w:sz w:val="16"/>
              </w:rPr>
              <w:t>Operations lead</w:t>
            </w:r>
          </w:p>
        </w:tc>
        <w:tc>
          <w:tcPr>
            <w:tcW w:type="dxa" w:w="1510"/>
            <w:vAlign w:val="center"/>
          </w:tcPr>
          <w:p>
            <w:pPr>
              <w:spacing w:before="0" w:after="0" w:line="252" w:lineRule="auto"/>
            </w:pPr>
            <w:r/>
            <w:r>
              <w:rPr>
                <w:rFonts w:ascii="Calibri" w:hAnsi="Calibri" w:eastAsia="Calibri"/>
                <w:b w:val="0"/>
                <w:sz w:val="16"/>
              </w:rPr>
              <w:t>Signatory proof, programme scope, staffing inventory</w:t>
            </w:r>
          </w:p>
        </w:tc>
      </w:tr>
      <w:tr>
        <w:tc>
          <w:tcPr>
            <w:tcW w:type="dxa" w:w="2100"/>
            <w:vAlign w:val="center"/>
          </w:tcPr>
          <w:p>
            <w:pPr>
              <w:spacing w:before="0" w:after="0" w:line="252" w:lineRule="auto"/>
            </w:pPr>
            <w:r/>
            <w:r>
              <w:rPr>
                <w:rFonts w:ascii="Calibri" w:hAnsi="Calibri" w:eastAsia="Calibri"/>
                <w:b/>
                <w:sz w:val="16"/>
              </w:rPr>
              <w:t>Taiwan University Act, Article 24</w:t>
            </w:r>
          </w:p>
        </w:tc>
        <w:tc>
          <w:tcPr>
            <w:tcW w:type="dxa" w:w="1550"/>
            <w:vAlign w:val="center"/>
          </w:tcPr>
          <w:p>
            <w:pPr>
              <w:spacing w:before="0" w:after="0" w:line="252" w:lineRule="auto"/>
            </w:pPr>
            <w:r/>
            <w:r>
              <w:rPr>
                <w:rFonts w:ascii="Calibri" w:hAnsi="Calibri" w:eastAsia="Calibri"/>
                <w:b w:val="0"/>
                <w:sz w:val="16"/>
              </w:rPr>
              <w:t>Admissions approval authority</w:t>
            </w:r>
          </w:p>
        </w:tc>
        <w:tc>
          <w:tcPr>
            <w:tcW w:type="dxa" w:w="2850"/>
            <w:vAlign w:val="center"/>
          </w:tcPr>
          <w:p>
            <w:pPr>
              <w:spacing w:before="0" w:after="0" w:line="252" w:lineRule="auto"/>
            </w:pPr>
            <w:r/>
            <w:r>
              <w:rPr>
                <w:rFonts w:ascii="Calibri" w:hAnsi="Calibri" w:eastAsia="Calibri"/>
                <w:b w:val="0"/>
                <w:sz w:val="16"/>
              </w:rPr>
              <w:t>Confirm MOE approval route for independent admissions, tuition distinction, quota treatment, and student-status disclosure.</w:t>
            </w:r>
          </w:p>
        </w:tc>
        <w:tc>
          <w:tcPr>
            <w:tcW w:type="dxa" w:w="1350"/>
            <w:vAlign w:val="center"/>
          </w:tcPr>
          <w:p>
            <w:pPr>
              <w:spacing w:before="0" w:after="0" w:line="252" w:lineRule="auto"/>
            </w:pPr>
            <w:r/>
            <w:r>
              <w:rPr>
                <w:rFonts w:ascii="Calibri" w:hAnsi="Calibri" w:eastAsia="Calibri"/>
                <w:b w:val="0"/>
                <w:sz w:val="16"/>
              </w:rPr>
              <w:t>Admissions / Academic Affairs</w:t>
            </w:r>
          </w:p>
        </w:tc>
        <w:tc>
          <w:tcPr>
            <w:tcW w:type="dxa" w:w="1510"/>
            <w:vAlign w:val="center"/>
          </w:tcPr>
          <w:p>
            <w:pPr>
              <w:spacing w:before="0" w:after="0" w:line="252" w:lineRule="auto"/>
            </w:pPr>
            <w:r/>
            <w:r>
              <w:rPr>
                <w:rFonts w:ascii="Calibri" w:hAnsi="Calibri" w:eastAsia="Calibri"/>
                <w:b w:val="0"/>
                <w:sz w:val="16"/>
              </w:rPr>
              <w:t>CGU admissions design and MOE interpretation</w:t>
            </w:r>
          </w:p>
        </w:tc>
      </w:tr>
      <w:tr>
        <w:tc>
          <w:tcPr>
            <w:tcW w:type="dxa" w:w="2100"/>
            <w:vAlign w:val="center"/>
          </w:tcPr>
          <w:p>
            <w:pPr>
              <w:spacing w:before="0" w:after="0" w:line="252" w:lineRule="auto"/>
            </w:pPr>
            <w:r/>
            <w:r>
              <w:rPr>
                <w:rFonts w:ascii="Calibri" w:hAnsi="Calibri" w:eastAsia="Calibri"/>
                <w:b/>
                <w:sz w:val="16"/>
              </w:rPr>
              <w:t>Course info_Diploma in Management Studies.pdf</w:t>
            </w:r>
          </w:p>
        </w:tc>
        <w:tc>
          <w:tcPr>
            <w:tcW w:type="dxa" w:w="1550"/>
            <w:vAlign w:val="center"/>
          </w:tcPr>
          <w:p>
            <w:pPr>
              <w:spacing w:before="0" w:after="0" w:line="252" w:lineRule="auto"/>
            </w:pPr>
            <w:r/>
            <w:r>
              <w:rPr>
                <w:rFonts w:ascii="Calibri" w:hAnsi="Calibri" w:eastAsia="Calibri"/>
                <w:b w:val="0"/>
                <w:sz w:val="16"/>
              </w:rPr>
              <w:t>DMS course facts</w:t>
            </w:r>
          </w:p>
        </w:tc>
        <w:tc>
          <w:tcPr>
            <w:tcW w:type="dxa" w:w="2850"/>
            <w:vAlign w:val="center"/>
          </w:tcPr>
          <w:p>
            <w:pPr>
              <w:spacing w:before="0" w:after="0" w:line="252" w:lineRule="auto"/>
            </w:pPr>
            <w:r/>
            <w:r>
              <w:rPr>
                <w:rFonts w:ascii="Calibri" w:hAnsi="Calibri" w:eastAsia="Calibri"/>
                <w:b w:val="0"/>
                <w:sz w:val="16"/>
              </w:rPr>
              <w:t>Use module list, 15-month duration, and contact-hour facts for mapping.</w:t>
            </w:r>
          </w:p>
        </w:tc>
        <w:tc>
          <w:tcPr>
            <w:tcW w:type="dxa" w:w="1350"/>
            <w:vAlign w:val="center"/>
          </w:tcPr>
          <w:p>
            <w:pPr>
              <w:spacing w:before="0" w:after="0" w:line="252" w:lineRule="auto"/>
            </w:pPr>
            <w:r/>
            <w:r>
              <w:rPr>
                <w:rFonts w:ascii="Calibri" w:hAnsi="Calibri" w:eastAsia="Calibri"/>
                <w:b w:val="0"/>
                <w:sz w:val="16"/>
              </w:rPr>
              <w:t>Academic lead</w:t>
            </w:r>
          </w:p>
        </w:tc>
        <w:tc>
          <w:tcPr>
            <w:tcW w:type="dxa" w:w="1510"/>
            <w:vAlign w:val="center"/>
          </w:tcPr>
          <w:p>
            <w:pPr>
              <w:spacing w:before="0" w:after="0" w:line="252" w:lineRule="auto"/>
            </w:pPr>
            <w:r/>
            <w:r>
              <w:rPr>
                <w:rFonts w:ascii="Calibri" w:hAnsi="Calibri" w:eastAsia="Calibri"/>
                <w:b w:val="0"/>
                <w:sz w:val="16"/>
              </w:rPr>
              <w:t>SIM confirmation of final 6/9 module order</w:t>
            </w:r>
          </w:p>
        </w:tc>
      </w:tr>
      <w:tr>
        <w:tc>
          <w:tcPr>
            <w:tcW w:type="dxa" w:w="2100"/>
            <w:vAlign w:val="center"/>
          </w:tcPr>
          <w:p>
            <w:pPr>
              <w:spacing w:before="0" w:after="0" w:line="252" w:lineRule="auto"/>
            </w:pPr>
            <w:r/>
            <w:r>
              <w:rPr>
                <w:rFonts w:ascii="Calibri" w:hAnsi="Calibri" w:eastAsia="Calibri"/>
                <w:b/>
                <w:sz w:val="16"/>
              </w:rPr>
              <w:t>Academic Staff Teaching Profile Form- 10162025.xlsx</w:t>
            </w:r>
          </w:p>
        </w:tc>
        <w:tc>
          <w:tcPr>
            <w:tcW w:type="dxa" w:w="1550"/>
            <w:vAlign w:val="center"/>
          </w:tcPr>
          <w:p>
            <w:pPr>
              <w:spacing w:before="0" w:after="0" w:line="252" w:lineRule="auto"/>
            </w:pPr>
            <w:r/>
            <w:r>
              <w:rPr>
                <w:rFonts w:ascii="Calibri" w:hAnsi="Calibri" w:eastAsia="Calibri"/>
                <w:b w:val="0"/>
                <w:sz w:val="16"/>
              </w:rPr>
              <w:t>Faculty approval evidence</w:t>
            </w:r>
          </w:p>
        </w:tc>
        <w:tc>
          <w:tcPr>
            <w:tcW w:type="dxa" w:w="2850"/>
            <w:vAlign w:val="center"/>
          </w:tcPr>
          <w:p>
            <w:pPr>
              <w:spacing w:before="0" w:after="0" w:line="252" w:lineRule="auto"/>
            </w:pPr>
            <w:r/>
            <w:r>
              <w:rPr>
                <w:rFonts w:ascii="Calibri" w:hAnsi="Calibri" w:eastAsia="Calibri"/>
                <w:b w:val="0"/>
                <w:sz w:val="16"/>
              </w:rPr>
              <w:t>Collect profile forms, CVs, certificates, transcripts, English proficiency, and module assignments.</w:t>
            </w:r>
          </w:p>
        </w:tc>
        <w:tc>
          <w:tcPr>
            <w:tcW w:type="dxa" w:w="1350"/>
            <w:vAlign w:val="center"/>
          </w:tcPr>
          <w:p>
            <w:pPr>
              <w:spacing w:before="0" w:after="0" w:line="252" w:lineRule="auto"/>
            </w:pPr>
            <w:r/>
            <w:r>
              <w:rPr>
                <w:rFonts w:ascii="Calibri" w:hAnsi="Calibri" w:eastAsia="Calibri"/>
                <w:b w:val="0"/>
                <w:sz w:val="16"/>
              </w:rPr>
              <w:t>Staffing lead</w:t>
            </w:r>
          </w:p>
        </w:tc>
        <w:tc>
          <w:tcPr>
            <w:tcW w:type="dxa" w:w="1510"/>
            <w:vAlign w:val="center"/>
          </w:tcPr>
          <w:p>
            <w:pPr>
              <w:spacing w:before="0" w:after="0" w:line="252" w:lineRule="auto"/>
            </w:pPr>
            <w:r/>
            <w:r>
              <w:rPr>
                <w:rFonts w:ascii="Calibri" w:hAnsi="Calibri" w:eastAsia="Calibri"/>
                <w:b w:val="0"/>
                <w:sz w:val="16"/>
              </w:rPr>
              <w:t>Faculty nominations</w:t>
            </w:r>
          </w:p>
        </w:tc>
      </w:tr>
      <w:tr>
        <w:tc>
          <w:tcPr>
            <w:tcW w:type="dxa" w:w="2100"/>
            <w:vAlign w:val="center"/>
          </w:tcPr>
          <w:p>
            <w:pPr>
              <w:spacing w:before="0" w:after="0" w:line="252" w:lineRule="auto"/>
            </w:pPr>
            <w:r/>
            <w:r>
              <w:rPr>
                <w:rFonts w:ascii="Calibri" w:hAnsi="Calibri" w:eastAsia="Calibri"/>
                <w:b/>
                <w:sz w:val="16"/>
              </w:rPr>
              <w:t>NDA template</w:t>
            </w:r>
          </w:p>
        </w:tc>
        <w:tc>
          <w:tcPr>
            <w:tcW w:type="dxa" w:w="1550"/>
            <w:vAlign w:val="center"/>
          </w:tcPr>
          <w:p>
            <w:pPr>
              <w:spacing w:before="0" w:after="0" w:line="252" w:lineRule="auto"/>
            </w:pPr>
            <w:r/>
            <w:r>
              <w:rPr>
                <w:rFonts w:ascii="Calibri" w:hAnsi="Calibri" w:eastAsia="Calibri"/>
                <w:b w:val="0"/>
                <w:sz w:val="16"/>
              </w:rPr>
              <w:t>Legal gate</w:t>
            </w:r>
          </w:p>
        </w:tc>
        <w:tc>
          <w:tcPr>
            <w:tcW w:type="dxa" w:w="2850"/>
            <w:vAlign w:val="center"/>
          </w:tcPr>
          <w:p>
            <w:pPr>
              <w:spacing w:before="0" w:after="0" w:line="252" w:lineRule="auto"/>
            </w:pPr>
            <w:r/>
            <w:r>
              <w:rPr>
                <w:rFonts w:ascii="Calibri" w:hAnsi="Calibri" w:eastAsia="Calibri"/>
                <w:b w:val="0"/>
                <w:sz w:val="16"/>
              </w:rPr>
              <w:t>Review Singapore law, PDPA, no-publicity clause, seven-year confidentiality, and signatory details.</w:t>
            </w:r>
          </w:p>
        </w:tc>
        <w:tc>
          <w:tcPr>
            <w:tcW w:type="dxa" w:w="1350"/>
            <w:vAlign w:val="center"/>
          </w:tcPr>
          <w:p>
            <w:pPr>
              <w:spacing w:before="0" w:after="0" w:line="252" w:lineRule="auto"/>
            </w:pPr>
            <w:r/>
            <w:r>
              <w:rPr>
                <w:rFonts w:ascii="Calibri" w:hAnsi="Calibri" w:eastAsia="Calibri"/>
                <w:b w:val="0"/>
                <w:sz w:val="16"/>
              </w:rPr>
              <w:t>Legal lead</w:t>
            </w:r>
          </w:p>
        </w:tc>
        <w:tc>
          <w:tcPr>
            <w:tcW w:type="dxa" w:w="1510"/>
            <w:vAlign w:val="center"/>
          </w:tcPr>
          <w:p>
            <w:pPr>
              <w:spacing w:before="0" w:after="0" w:line="252" w:lineRule="auto"/>
            </w:pPr>
            <w:r/>
            <w:r>
              <w:rPr>
                <w:rFonts w:ascii="Calibri" w:hAnsi="Calibri" w:eastAsia="Calibri"/>
                <w:b w:val="0"/>
                <w:sz w:val="16"/>
              </w:rPr>
              <w:t>Approved signatory</w:t>
            </w:r>
          </w:p>
        </w:tc>
      </w:tr>
      <w:tr>
        <w:tc>
          <w:tcPr>
            <w:tcW w:type="dxa" w:w="2100"/>
            <w:vAlign w:val="center"/>
          </w:tcPr>
          <w:p>
            <w:pPr>
              <w:spacing w:before="0" w:after="0" w:line="252" w:lineRule="auto"/>
            </w:pPr>
            <w:r/>
            <w:r>
              <w:rPr>
                <w:rFonts w:ascii="Calibri" w:hAnsi="Calibri" w:eastAsia="Calibri"/>
                <w:b/>
                <w:sz w:val="16"/>
              </w:rPr>
              <w:t>Prior AI drafts</w:t>
            </w:r>
          </w:p>
        </w:tc>
        <w:tc>
          <w:tcPr>
            <w:tcW w:type="dxa" w:w="1550"/>
            <w:vAlign w:val="center"/>
          </w:tcPr>
          <w:p>
            <w:pPr>
              <w:spacing w:before="0" w:after="0" w:line="252" w:lineRule="auto"/>
            </w:pPr>
            <w:r/>
            <w:r>
              <w:rPr>
                <w:rFonts w:ascii="Calibri" w:hAnsi="Calibri" w:eastAsia="Calibri"/>
                <w:b w:val="0"/>
                <w:sz w:val="16"/>
              </w:rPr>
              <w:t>Reference synthesis only</w:t>
            </w:r>
          </w:p>
        </w:tc>
        <w:tc>
          <w:tcPr>
            <w:tcW w:type="dxa" w:w="2850"/>
            <w:vAlign w:val="center"/>
          </w:tcPr>
          <w:p>
            <w:pPr>
              <w:spacing w:before="0" w:after="0" w:line="252" w:lineRule="auto"/>
            </w:pPr>
            <w:r/>
            <w:r>
              <w:rPr>
                <w:rFonts w:ascii="Calibri" w:hAnsi="Calibri" w:eastAsia="Calibri"/>
                <w:b w:val="0"/>
                <w:sz w:val="16"/>
              </w:rPr>
              <w:t>Use for storyline comparison; do not treat as evidence without source cross-check.</w:t>
            </w:r>
          </w:p>
        </w:tc>
        <w:tc>
          <w:tcPr>
            <w:tcW w:type="dxa" w:w="1350"/>
            <w:vAlign w:val="center"/>
          </w:tcPr>
          <w:p>
            <w:pPr>
              <w:spacing w:before="0" w:after="0" w:line="252" w:lineRule="auto"/>
            </w:pPr>
            <w:r/>
            <w:r>
              <w:rPr>
                <w:rFonts w:ascii="Calibri" w:hAnsi="Calibri" w:eastAsia="Calibri"/>
                <w:b w:val="0"/>
                <w:sz w:val="16"/>
              </w:rPr>
              <w:t>Project lead</w:t>
            </w:r>
          </w:p>
        </w:tc>
        <w:tc>
          <w:tcPr>
            <w:tcW w:type="dxa" w:w="1510"/>
            <w:vAlign w:val="center"/>
          </w:tcPr>
          <w:p>
            <w:pPr>
              <w:spacing w:before="0" w:after="0" w:line="252" w:lineRule="auto"/>
            </w:pPr>
            <w:r/>
            <w:r>
              <w:rPr>
                <w:rFonts w:ascii="Calibri" w:hAnsi="Calibri" w:eastAsia="Calibri"/>
                <w:b w:val="0"/>
                <w:sz w:val="16"/>
              </w:rPr>
              <w:t>June 9 conversation, SIM documents, and law sources</w:t>
            </w:r>
          </w:p>
        </w:tc>
      </w:tr>
    </w:tbl>
    <w:p>
      <w:pPr>
        <w:spacing w:before="0" w:after="160" w:line="264" w:lineRule="auto"/>
      </w:pPr>
    </w:p>
    <w:p>
      <w:bookmarkStart w:id="4" w:name="toc_timeline"/>
      <w:pPr>
        <w:pStyle w:val="Heading1"/>
        <w:spacing w:before="320" w:after="160" w:line="264" w:lineRule="auto"/>
      </w:pPr>
      <w:r>
        <w:rPr>
          <w:rFonts w:ascii="Calibri" w:hAnsi="Calibri" w:eastAsia="Calibri"/>
          <w:b/>
          <w:color w:val="2E74B5"/>
          <w:sz w:val="32"/>
        </w:rPr>
        <w:t>Timeline</w:t>
      </w:r>
      <w:bookmarkEnd w:id="4"/>
    </w:p>
    <w:tbl>
      <w:tblPr>
        <w:tblStyle w:val="TableGrid"/>
        <w:tblW w:type="dxa" w:w="9360"/>
        <w:jc w:val="left"/>
        <w:tblLayout w:type="fixed"/>
        <w:tblLook w:firstColumn="1" w:firstRow="1" w:lastColumn="0" w:lastRow="0" w:noHBand="0" w:noVBand="1" w:val="04A0"/>
        <w:tblInd w:w="120" w:type="dxa"/>
      </w:tblPr>
      <w:tblGrid>
        <w:gridCol w:w="1900"/>
        <w:gridCol w:w="1400"/>
        <w:gridCol w:w="1550"/>
        <w:gridCol w:w="2700"/>
        <w:gridCol w:w="1810"/>
      </w:tblGrid>
      <w:tr>
        <w:tc>
          <w:tcPr>
            <w:tcW w:type="dxa" w:w="19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Phase</w:t>
            </w:r>
          </w:p>
        </w:tc>
        <w:tc>
          <w:tcPr>
            <w:tcW w:type="dxa" w:w="14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Window</w:t>
            </w:r>
          </w:p>
        </w:tc>
        <w:tc>
          <w:tcPr>
            <w:tcW w:type="dxa" w:w="15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Owner</w:t>
            </w:r>
          </w:p>
        </w:tc>
        <w:tc>
          <w:tcPr>
            <w:tcW w:type="dxa" w:w="27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Deliverable</w:t>
            </w:r>
          </w:p>
        </w:tc>
        <w:tc>
          <w:tcPr>
            <w:tcW w:type="dxa" w:w="181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Gate</w:t>
            </w:r>
          </w:p>
        </w:tc>
      </w:tr>
      <w:tr>
        <w:tc>
          <w:tcPr>
            <w:tcW w:type="dxa" w:w="1900"/>
            <w:vAlign w:val="center"/>
          </w:tcPr>
          <w:p>
            <w:pPr>
              <w:spacing w:before="0" w:after="0" w:line="252" w:lineRule="auto"/>
            </w:pPr>
            <w:r/>
            <w:r>
              <w:rPr>
                <w:rFonts w:ascii="Calibri" w:hAnsi="Calibri" w:eastAsia="Calibri"/>
                <w:b/>
                <w:sz w:val="16"/>
              </w:rPr>
              <w:t>Phase 0: Internal alignment</w:t>
            </w:r>
          </w:p>
        </w:tc>
        <w:tc>
          <w:tcPr>
            <w:tcW w:type="dxa" w:w="1400"/>
            <w:vAlign w:val="center"/>
          </w:tcPr>
          <w:p>
            <w:pPr>
              <w:spacing w:before="0" w:after="0" w:line="252" w:lineRule="auto"/>
            </w:pPr>
            <w:r/>
            <w:r>
              <w:rPr>
                <w:rFonts w:ascii="Calibri" w:hAnsi="Calibri" w:eastAsia="Calibri"/>
                <w:b w:val="0"/>
                <w:sz w:val="16"/>
              </w:rPr>
              <w:t>Initiation phase</w:t>
            </w:r>
          </w:p>
        </w:tc>
        <w:tc>
          <w:tcPr>
            <w:tcW w:type="dxa" w:w="1550"/>
            <w:vAlign w:val="center"/>
          </w:tcPr>
          <w:p>
            <w:pPr>
              <w:spacing w:before="0" w:after="0" w:line="252" w:lineRule="auto"/>
            </w:pPr>
            <w:r/>
            <w:r>
              <w:rPr>
                <w:rFonts w:ascii="Calibri" w:hAnsi="Calibri" w:eastAsia="Calibri"/>
                <w:b w:val="0"/>
                <w:sz w:val="16"/>
              </w:rPr>
              <w:t>Project sponsor / project lead</w:t>
            </w:r>
          </w:p>
        </w:tc>
        <w:tc>
          <w:tcPr>
            <w:tcW w:type="dxa" w:w="2700"/>
            <w:vAlign w:val="center"/>
          </w:tcPr>
          <w:p>
            <w:pPr>
              <w:spacing w:before="0" w:after="0" w:line="252" w:lineRule="auto"/>
            </w:pPr>
            <w:r/>
            <w:r>
              <w:rPr>
                <w:rFonts w:ascii="Calibri" w:hAnsi="Calibri" w:eastAsia="Calibri"/>
                <w:b w:val="0"/>
                <w:sz w:val="16"/>
              </w:rPr>
              <w:t>Task force charter, scope, owners, and decision log</w:t>
            </w:r>
          </w:p>
        </w:tc>
        <w:tc>
          <w:tcPr>
            <w:tcW w:type="dxa" w:w="1810"/>
            <w:vAlign w:val="center"/>
          </w:tcPr>
          <w:p>
            <w:pPr>
              <w:spacing w:before="0" w:after="0" w:line="252" w:lineRule="auto"/>
            </w:pPr>
            <w:r/>
            <w:r>
              <w:rPr>
                <w:rFonts w:ascii="Calibri" w:hAnsi="Calibri" w:eastAsia="Calibri"/>
                <w:b w:val="0"/>
                <w:sz w:val="16"/>
              </w:rPr>
              <w:t>Leadership authorizes feasibility/application phase</w:t>
            </w:r>
          </w:p>
        </w:tc>
      </w:tr>
      <w:tr>
        <w:tc>
          <w:tcPr>
            <w:tcW w:type="dxa" w:w="1900"/>
            <w:vAlign w:val="center"/>
          </w:tcPr>
          <w:p>
            <w:pPr>
              <w:spacing w:before="0" w:after="0" w:line="252" w:lineRule="auto"/>
            </w:pPr>
            <w:r/>
            <w:r>
              <w:rPr>
                <w:rFonts w:ascii="Calibri" w:hAnsi="Calibri" w:eastAsia="Calibri"/>
                <w:b/>
                <w:sz w:val="16"/>
              </w:rPr>
              <w:t>Phase 1: Legal and policy framing</w:t>
            </w:r>
          </w:p>
        </w:tc>
        <w:tc>
          <w:tcPr>
            <w:tcW w:type="dxa" w:w="1400"/>
            <w:vAlign w:val="center"/>
          </w:tcPr>
          <w:p>
            <w:pPr>
              <w:spacing w:before="0" w:after="0" w:line="252" w:lineRule="auto"/>
            </w:pPr>
            <w:r/>
            <w:r>
              <w:rPr>
                <w:rFonts w:ascii="Calibri" w:hAnsi="Calibri" w:eastAsia="Calibri"/>
                <w:b w:val="0"/>
                <w:sz w:val="16"/>
              </w:rPr>
              <w:t>Before external commitments</w:t>
            </w:r>
          </w:p>
        </w:tc>
        <w:tc>
          <w:tcPr>
            <w:tcW w:type="dxa" w:w="1550"/>
            <w:vAlign w:val="center"/>
          </w:tcPr>
          <w:p>
            <w:pPr>
              <w:spacing w:before="0" w:after="0" w:line="252" w:lineRule="auto"/>
            </w:pPr>
            <w:r/>
            <w:r>
              <w:rPr>
                <w:rFonts w:ascii="Calibri" w:hAnsi="Calibri" w:eastAsia="Calibri"/>
                <w:b w:val="0"/>
                <w:sz w:val="16"/>
              </w:rPr>
              <w:t>Legal / Academic Affairs / Admissions</w:t>
            </w:r>
          </w:p>
        </w:tc>
        <w:tc>
          <w:tcPr>
            <w:tcW w:type="dxa" w:w="2700"/>
            <w:vAlign w:val="center"/>
          </w:tcPr>
          <w:p>
            <w:pPr>
              <w:spacing w:before="0" w:after="0" w:line="252" w:lineRule="auto"/>
            </w:pPr>
            <w:r/>
            <w:r>
              <w:rPr>
                <w:rFonts w:ascii="Calibri" w:hAnsi="Calibri" w:eastAsia="Calibri"/>
                <w:b w:val="0"/>
                <w:sz w:val="16"/>
              </w:rPr>
              <w:t>NDA review path, MOE admissions-permission route, and public-claims boundary</w:t>
            </w:r>
          </w:p>
        </w:tc>
        <w:tc>
          <w:tcPr>
            <w:tcW w:type="dxa" w:w="1810"/>
            <w:vAlign w:val="center"/>
          </w:tcPr>
          <w:p>
            <w:pPr>
              <w:spacing w:before="0" w:after="0" w:line="252" w:lineRule="auto"/>
            </w:pPr>
            <w:r/>
            <w:r>
              <w:rPr>
                <w:rFonts w:ascii="Calibri" w:hAnsi="Calibri" w:eastAsia="Calibri"/>
                <w:b w:val="0"/>
                <w:sz w:val="16"/>
              </w:rPr>
              <w:t>CGU agrees this is a dual-gate project</w:t>
            </w:r>
          </w:p>
        </w:tc>
      </w:tr>
      <w:tr>
        <w:tc>
          <w:tcPr>
            <w:tcW w:type="dxa" w:w="1900"/>
            <w:vAlign w:val="center"/>
          </w:tcPr>
          <w:p>
            <w:pPr>
              <w:spacing w:before="0" w:after="0" w:line="252" w:lineRule="auto"/>
            </w:pPr>
            <w:r/>
            <w:r>
              <w:rPr>
                <w:rFonts w:ascii="Calibri" w:hAnsi="Calibri" w:eastAsia="Calibri"/>
                <w:b/>
                <w:sz w:val="16"/>
              </w:rPr>
              <w:t>Phase 2: SIM clarification and MOE admissions design</w:t>
            </w:r>
          </w:p>
        </w:tc>
        <w:tc>
          <w:tcPr>
            <w:tcW w:type="dxa" w:w="1400"/>
            <w:vAlign w:val="center"/>
          </w:tcPr>
          <w:p>
            <w:pPr>
              <w:spacing w:before="0" w:after="0" w:line="252" w:lineRule="auto"/>
            </w:pPr>
            <w:r/>
            <w:r>
              <w:rPr>
                <w:rFonts w:ascii="Calibri" w:hAnsi="Calibri" w:eastAsia="Calibri"/>
                <w:b w:val="0"/>
                <w:sz w:val="16"/>
              </w:rPr>
              <w:t>After initial authorization</w:t>
            </w:r>
          </w:p>
        </w:tc>
        <w:tc>
          <w:tcPr>
            <w:tcW w:type="dxa" w:w="1550"/>
            <w:vAlign w:val="center"/>
          </w:tcPr>
          <w:p>
            <w:pPr>
              <w:spacing w:before="0" w:after="0" w:line="252" w:lineRule="auto"/>
            </w:pPr>
            <w:r/>
            <w:r>
              <w:rPr>
                <w:rFonts w:ascii="Calibri" w:hAnsi="Calibri" w:eastAsia="Calibri"/>
                <w:b w:val="0"/>
                <w:sz w:val="16"/>
              </w:rPr>
              <w:t>SIM liaison / Admissions lead</w:t>
            </w:r>
          </w:p>
        </w:tc>
        <w:tc>
          <w:tcPr>
            <w:tcW w:type="dxa" w:w="2700"/>
            <w:vAlign w:val="center"/>
          </w:tcPr>
          <w:p>
            <w:pPr>
              <w:spacing w:before="0" w:after="0" w:line="252" w:lineRule="auto"/>
            </w:pPr>
            <w:r/>
            <w:r>
              <w:rPr>
                <w:rFonts w:ascii="Calibri" w:hAnsi="Calibri" w:eastAsia="Calibri"/>
                <w:b w:val="0"/>
                <w:sz w:val="16"/>
              </w:rPr>
              <w:t>SIM clarification memo plus independent-admissions concept for MOE consultation</w:t>
            </w:r>
          </w:p>
        </w:tc>
        <w:tc>
          <w:tcPr>
            <w:tcW w:type="dxa" w:w="1810"/>
            <w:vAlign w:val="center"/>
          </w:tcPr>
          <w:p>
            <w:pPr>
              <w:spacing w:before="0" w:after="0" w:line="252" w:lineRule="auto"/>
            </w:pPr>
            <w:r/>
            <w:r>
              <w:rPr>
                <w:rFonts w:ascii="Calibri" w:hAnsi="Calibri" w:eastAsia="Calibri"/>
                <w:b w:val="0"/>
                <w:sz w:val="16"/>
              </w:rPr>
              <w:t>Critical SIM and MOE feasibility questions are answerable</w:t>
            </w:r>
          </w:p>
        </w:tc>
      </w:tr>
      <w:tr>
        <w:tc>
          <w:tcPr>
            <w:tcW w:type="dxa" w:w="1900"/>
            <w:vAlign w:val="center"/>
          </w:tcPr>
          <w:p>
            <w:pPr>
              <w:spacing w:before="0" w:after="0" w:line="252" w:lineRule="auto"/>
            </w:pPr>
            <w:r/>
            <w:r>
              <w:rPr>
                <w:rFonts w:ascii="Calibri" w:hAnsi="Calibri" w:eastAsia="Calibri"/>
                <w:b/>
                <w:sz w:val="16"/>
              </w:rPr>
              <w:t>Phase 3: Evidence pack and staffing build</w:t>
            </w:r>
          </w:p>
        </w:tc>
        <w:tc>
          <w:tcPr>
            <w:tcW w:type="dxa" w:w="1400"/>
            <w:vAlign w:val="center"/>
          </w:tcPr>
          <w:p>
            <w:pPr>
              <w:spacing w:before="0" w:after="0" w:line="252" w:lineRule="auto"/>
            </w:pPr>
            <w:r/>
            <w:r>
              <w:rPr>
                <w:rFonts w:ascii="Calibri" w:hAnsi="Calibri" w:eastAsia="Calibri"/>
                <w:b w:val="0"/>
                <w:sz w:val="16"/>
              </w:rPr>
              <w:t>Application-preparation phase</w:t>
            </w:r>
          </w:p>
        </w:tc>
        <w:tc>
          <w:tcPr>
            <w:tcW w:type="dxa" w:w="1550"/>
            <w:vAlign w:val="center"/>
          </w:tcPr>
          <w:p>
            <w:pPr>
              <w:spacing w:before="0" w:after="0" w:line="252" w:lineRule="auto"/>
            </w:pPr>
            <w:r/>
            <w:r>
              <w:rPr>
                <w:rFonts w:ascii="Calibri" w:hAnsi="Calibri" w:eastAsia="Calibri"/>
                <w:b w:val="0"/>
                <w:sz w:val="16"/>
              </w:rPr>
              <w:t>Operations / Staffing / Academic lead</w:t>
            </w:r>
          </w:p>
        </w:tc>
        <w:tc>
          <w:tcPr>
            <w:tcW w:type="dxa" w:w="2700"/>
            <w:vAlign w:val="center"/>
          </w:tcPr>
          <w:p>
            <w:pPr>
              <w:spacing w:before="0" w:after="0" w:line="252" w:lineRule="auto"/>
            </w:pPr>
            <w:r/>
            <w:r>
              <w:rPr>
                <w:rFonts w:ascii="Calibri" w:hAnsi="Calibri" w:eastAsia="Calibri"/>
                <w:b w:val="0"/>
                <w:sz w:val="16"/>
              </w:rPr>
              <w:t>OTC evidence pack, staffing forms, academic mapping, admissions rationale</w:t>
            </w:r>
          </w:p>
        </w:tc>
        <w:tc>
          <w:tcPr>
            <w:tcW w:type="dxa" w:w="1810"/>
            <w:vAlign w:val="center"/>
          </w:tcPr>
          <w:p>
            <w:pPr>
              <w:spacing w:before="0" w:after="0" w:line="252" w:lineRule="auto"/>
            </w:pPr>
            <w:r/>
            <w:r>
              <w:rPr>
                <w:rFonts w:ascii="Calibri" w:hAnsi="Calibri" w:eastAsia="Calibri"/>
                <w:b w:val="0"/>
                <w:sz w:val="16"/>
              </w:rPr>
              <w:t>Internal quality review before either submission</w:t>
            </w:r>
          </w:p>
        </w:tc>
      </w:tr>
      <w:tr>
        <w:tc>
          <w:tcPr>
            <w:tcW w:type="dxa" w:w="1900"/>
            <w:vAlign w:val="center"/>
          </w:tcPr>
          <w:p>
            <w:pPr>
              <w:spacing w:before="0" w:after="0" w:line="252" w:lineRule="auto"/>
            </w:pPr>
            <w:r/>
            <w:r>
              <w:rPr>
                <w:rFonts w:ascii="Calibri" w:hAnsi="Calibri" w:eastAsia="Calibri"/>
                <w:b/>
                <w:sz w:val="16"/>
              </w:rPr>
              <w:t>Phase 4: Parallel external review</w:t>
            </w:r>
          </w:p>
        </w:tc>
        <w:tc>
          <w:tcPr>
            <w:tcW w:type="dxa" w:w="1400"/>
            <w:vAlign w:val="center"/>
          </w:tcPr>
          <w:p>
            <w:pPr>
              <w:spacing w:before="0" w:after="0" w:line="252" w:lineRule="auto"/>
            </w:pPr>
            <w:r/>
            <w:r>
              <w:rPr>
                <w:rFonts w:ascii="Calibri" w:hAnsi="Calibri" w:eastAsia="Calibri"/>
                <w:b w:val="0"/>
                <w:sz w:val="16"/>
              </w:rPr>
              <w:t>Authority-paced</w:t>
            </w:r>
          </w:p>
        </w:tc>
        <w:tc>
          <w:tcPr>
            <w:tcW w:type="dxa" w:w="1550"/>
            <w:vAlign w:val="center"/>
          </w:tcPr>
          <w:p>
            <w:pPr>
              <w:spacing w:before="0" w:after="0" w:line="252" w:lineRule="auto"/>
            </w:pPr>
            <w:r/>
            <w:r>
              <w:rPr>
                <w:rFonts w:ascii="Calibri" w:hAnsi="Calibri" w:eastAsia="Calibri"/>
                <w:b w:val="0"/>
                <w:sz w:val="16"/>
              </w:rPr>
              <w:t>SIM liaison / Admissions lead</w:t>
            </w:r>
          </w:p>
        </w:tc>
        <w:tc>
          <w:tcPr>
            <w:tcW w:type="dxa" w:w="2700"/>
            <w:vAlign w:val="center"/>
          </w:tcPr>
          <w:p>
            <w:pPr>
              <w:spacing w:before="0" w:after="0" w:line="252" w:lineRule="auto"/>
            </w:pPr>
            <w:r/>
            <w:r>
              <w:rPr>
                <w:rFonts w:ascii="Calibri" w:hAnsi="Calibri" w:eastAsia="Calibri"/>
                <w:b w:val="0"/>
                <w:sz w:val="16"/>
              </w:rPr>
              <w:t>SIM review, audit preparation, teaching-site evidence, MOE admissions submission and clarifications</w:t>
            </w:r>
          </w:p>
        </w:tc>
        <w:tc>
          <w:tcPr>
            <w:tcW w:type="dxa" w:w="1810"/>
            <w:vAlign w:val="center"/>
          </w:tcPr>
          <w:p>
            <w:pPr>
              <w:spacing w:before="0" w:after="0" w:line="252" w:lineRule="auto"/>
            </w:pPr>
            <w:r/>
            <w:r>
              <w:rPr>
                <w:rFonts w:ascii="Calibri" w:hAnsi="Calibri" w:eastAsia="Calibri"/>
                <w:b w:val="0"/>
                <w:sz w:val="16"/>
              </w:rPr>
              <w:t>Both SIM and MOE approvals are obtained or remediation is defined</w:t>
            </w:r>
          </w:p>
        </w:tc>
      </w:tr>
      <w:tr>
        <w:tc>
          <w:tcPr>
            <w:tcW w:type="dxa" w:w="1900"/>
            <w:vAlign w:val="center"/>
          </w:tcPr>
          <w:p>
            <w:pPr>
              <w:spacing w:before="0" w:after="0" w:line="252" w:lineRule="auto"/>
            </w:pPr>
            <w:r/>
            <w:r>
              <w:rPr>
                <w:rFonts w:ascii="Calibri" w:hAnsi="Calibri" w:eastAsia="Calibri"/>
                <w:b/>
                <w:sz w:val="16"/>
              </w:rPr>
              <w:t>Phase 5: Formal agreement and launch permission</w:t>
            </w:r>
          </w:p>
        </w:tc>
        <w:tc>
          <w:tcPr>
            <w:tcW w:type="dxa" w:w="1400"/>
            <w:vAlign w:val="center"/>
          </w:tcPr>
          <w:p>
            <w:pPr>
              <w:spacing w:before="0" w:after="0" w:line="252" w:lineRule="auto"/>
            </w:pPr>
            <w:r/>
            <w:r>
              <w:rPr>
                <w:rFonts w:ascii="Calibri" w:hAnsi="Calibri" w:eastAsia="Calibri"/>
                <w:b w:val="0"/>
                <w:sz w:val="16"/>
              </w:rPr>
              <w:t>After both approvals</w:t>
            </w:r>
          </w:p>
        </w:tc>
        <w:tc>
          <w:tcPr>
            <w:tcW w:type="dxa" w:w="1550"/>
            <w:vAlign w:val="center"/>
          </w:tcPr>
          <w:p>
            <w:pPr>
              <w:spacing w:before="0" w:after="0" w:line="252" w:lineRule="auto"/>
            </w:pPr>
            <w:r/>
            <w:r>
              <w:rPr>
                <w:rFonts w:ascii="Calibri" w:hAnsi="Calibri" w:eastAsia="Calibri"/>
                <w:b w:val="0"/>
                <w:sz w:val="16"/>
              </w:rPr>
              <w:t>Legal / signatory / Admissions</w:t>
            </w:r>
          </w:p>
        </w:tc>
        <w:tc>
          <w:tcPr>
            <w:tcW w:type="dxa" w:w="2700"/>
            <w:vAlign w:val="center"/>
          </w:tcPr>
          <w:p>
            <w:pPr>
              <w:spacing w:before="0" w:after="0" w:line="252" w:lineRule="auto"/>
            </w:pPr>
            <w:r/>
            <w:r>
              <w:rPr>
                <w:rFonts w:ascii="Calibri" w:hAnsi="Calibri" w:eastAsia="Calibri"/>
                <w:b w:val="0"/>
                <w:sz w:val="16"/>
              </w:rPr>
              <w:t>Agreement signed by required parties and approved recruitment/advising terms</w:t>
            </w:r>
          </w:p>
        </w:tc>
        <w:tc>
          <w:tcPr>
            <w:tcW w:type="dxa" w:w="1810"/>
            <w:vAlign w:val="center"/>
          </w:tcPr>
          <w:p>
            <w:pPr>
              <w:spacing w:before="0" w:after="0" w:line="252" w:lineRule="auto"/>
            </w:pPr>
            <w:r/>
            <w:r>
              <w:rPr>
                <w:rFonts w:ascii="Calibri" w:hAnsi="Calibri" w:eastAsia="Calibri"/>
                <w:b w:val="0"/>
                <w:sz w:val="16"/>
              </w:rPr>
              <w:t>No implementation before SIM approval and MOE permission</w:t>
            </w:r>
          </w:p>
        </w:tc>
      </w:tr>
      <w:tr>
        <w:tc>
          <w:tcPr>
            <w:tcW w:type="dxa" w:w="1900"/>
            <w:vAlign w:val="center"/>
          </w:tcPr>
          <w:p>
            <w:pPr>
              <w:spacing w:before="0" w:after="0" w:line="252" w:lineRule="auto"/>
            </w:pPr>
            <w:r/>
            <w:r>
              <w:rPr>
                <w:rFonts w:ascii="Calibri" w:hAnsi="Calibri" w:eastAsia="Calibri"/>
                <w:b/>
                <w:sz w:val="16"/>
              </w:rPr>
              <w:t>Phase 6: Pre-launch operations</w:t>
            </w:r>
          </w:p>
        </w:tc>
        <w:tc>
          <w:tcPr>
            <w:tcW w:type="dxa" w:w="1400"/>
            <w:vAlign w:val="center"/>
          </w:tcPr>
          <w:p>
            <w:pPr>
              <w:spacing w:before="0" w:after="0" w:line="252" w:lineRule="auto"/>
            </w:pPr>
            <w:r/>
            <w:r>
              <w:rPr>
                <w:rFonts w:ascii="Calibri" w:hAnsi="Calibri" w:eastAsia="Calibri"/>
                <w:b w:val="0"/>
                <w:sz w:val="16"/>
              </w:rPr>
              <w:t>Approved launch window</w:t>
            </w:r>
          </w:p>
        </w:tc>
        <w:tc>
          <w:tcPr>
            <w:tcW w:type="dxa" w:w="1550"/>
            <w:vAlign w:val="center"/>
          </w:tcPr>
          <w:p>
            <w:pPr>
              <w:spacing w:before="0" w:after="0" w:line="252" w:lineRule="auto"/>
            </w:pPr>
            <w:r/>
            <w:r>
              <w:rPr>
                <w:rFonts w:ascii="Calibri" w:hAnsi="Calibri" w:eastAsia="Calibri"/>
                <w:b w:val="0"/>
                <w:sz w:val="16"/>
              </w:rPr>
              <w:t>Recruitment and operations leads</w:t>
            </w:r>
          </w:p>
        </w:tc>
        <w:tc>
          <w:tcPr>
            <w:tcW w:type="dxa" w:w="2700"/>
            <w:vAlign w:val="center"/>
          </w:tcPr>
          <w:p>
            <w:pPr>
              <w:spacing w:before="0" w:after="0" w:line="252" w:lineRule="auto"/>
            </w:pPr>
            <w:r/>
            <w:r>
              <w:rPr>
                <w:rFonts w:ascii="Calibri" w:hAnsi="Calibri" w:eastAsia="Calibri"/>
                <w:b w:val="0"/>
                <w:sz w:val="16"/>
              </w:rPr>
              <w:t>Approved advising scripts, timetable, class/exam operations</w:t>
            </w:r>
          </w:p>
        </w:tc>
        <w:tc>
          <w:tcPr>
            <w:tcW w:type="dxa" w:w="1810"/>
            <w:vAlign w:val="center"/>
          </w:tcPr>
          <w:p>
            <w:pPr>
              <w:spacing w:before="0" w:after="0" w:line="252" w:lineRule="auto"/>
            </w:pPr>
            <w:r/>
            <w:r>
              <w:rPr>
                <w:rFonts w:ascii="Calibri" w:hAnsi="Calibri" w:eastAsia="Calibri"/>
                <w:b w:val="0"/>
                <w:sz w:val="16"/>
              </w:rPr>
              <w:t>No-publicity, academic, and admissions approvals cleared</w:t>
            </w:r>
          </w:p>
        </w:tc>
      </w:tr>
      <w:tr>
        <w:tc>
          <w:tcPr>
            <w:tcW w:type="dxa" w:w="1900"/>
            <w:vAlign w:val="center"/>
          </w:tcPr>
          <w:p>
            <w:pPr>
              <w:spacing w:before="0" w:after="0" w:line="252" w:lineRule="auto"/>
            </w:pPr>
            <w:r/>
            <w:r>
              <w:rPr>
                <w:rFonts w:ascii="Calibri" w:hAnsi="Calibri" w:eastAsia="Calibri"/>
                <w:b/>
                <w:sz w:val="16"/>
              </w:rPr>
              <w:t>Phase 7: First cohort and review</w:t>
            </w:r>
          </w:p>
        </w:tc>
        <w:tc>
          <w:tcPr>
            <w:tcW w:type="dxa" w:w="1400"/>
            <w:vAlign w:val="center"/>
          </w:tcPr>
          <w:p>
            <w:pPr>
              <w:spacing w:before="0" w:after="0" w:line="252" w:lineRule="auto"/>
            </w:pPr>
            <w:r/>
            <w:r>
              <w:rPr>
                <w:rFonts w:ascii="Calibri" w:hAnsi="Calibri" w:eastAsia="Calibri"/>
                <w:b w:val="0"/>
                <w:sz w:val="16"/>
              </w:rPr>
              <w:t>Post-launch</w:t>
            </w:r>
          </w:p>
        </w:tc>
        <w:tc>
          <w:tcPr>
            <w:tcW w:type="dxa" w:w="1550"/>
            <w:vAlign w:val="center"/>
          </w:tcPr>
          <w:p>
            <w:pPr>
              <w:spacing w:before="0" w:after="0" w:line="252" w:lineRule="auto"/>
            </w:pPr>
            <w:r/>
            <w:r>
              <w:rPr>
                <w:rFonts w:ascii="Calibri" w:hAnsi="Calibri" w:eastAsia="Calibri"/>
                <w:b w:val="0"/>
                <w:sz w:val="16"/>
              </w:rPr>
              <w:t>Academic head / admin staff</w:t>
            </w:r>
          </w:p>
        </w:tc>
        <w:tc>
          <w:tcPr>
            <w:tcW w:type="dxa" w:w="2700"/>
            <w:vAlign w:val="center"/>
          </w:tcPr>
          <w:p>
            <w:pPr>
              <w:spacing w:before="0" w:after="0" w:line="252" w:lineRule="auto"/>
            </w:pPr>
            <w:r/>
            <w:r>
              <w:rPr>
                <w:rFonts w:ascii="Calibri" w:hAnsi="Calibri" w:eastAsia="Calibri"/>
                <w:b w:val="0"/>
                <w:sz w:val="16"/>
              </w:rPr>
              <w:t>Delivery documentation, post-cohort accreditation, annual review</w:t>
            </w:r>
          </w:p>
        </w:tc>
        <w:tc>
          <w:tcPr>
            <w:tcW w:type="dxa" w:w="1810"/>
            <w:vAlign w:val="center"/>
          </w:tcPr>
          <w:p>
            <w:pPr>
              <w:spacing w:before="0" w:after="0" w:line="252" w:lineRule="auto"/>
            </w:pPr>
            <w:r/>
            <w:r>
              <w:rPr>
                <w:rFonts w:ascii="Calibri" w:hAnsi="Calibri" w:eastAsia="Calibri"/>
                <w:b w:val="0"/>
                <w:sz w:val="16"/>
              </w:rPr>
              <w:t>SIM accreditation and annual progress review</w:t>
            </w:r>
          </w:p>
        </w:tc>
      </w:tr>
    </w:tbl>
    <w:p>
      <w:pPr>
        <w:spacing w:before="0" w:after="160" w:line="264" w:lineRule="auto"/>
      </w:pPr>
    </w:p>
    <w:p>
      <w:bookmarkStart w:id="5" w:name="toc_workstreams"/>
      <w:pPr>
        <w:pStyle w:val="Heading1"/>
        <w:spacing w:before="320" w:after="160" w:line="264" w:lineRule="auto"/>
      </w:pPr>
      <w:r>
        <w:rPr>
          <w:rFonts w:ascii="Calibri" w:hAnsi="Calibri" w:eastAsia="Calibri"/>
          <w:b/>
          <w:color w:val="2E74B5"/>
          <w:sz w:val="32"/>
        </w:rPr>
        <w:t>Workstreams</w:t>
      </w:r>
      <w:bookmarkEnd w:id="5"/>
    </w:p>
    <w:tbl>
      <w:tblPr>
        <w:tblStyle w:val="TableGrid"/>
        <w:tblW w:type="dxa" w:w="9360"/>
        <w:jc w:val="left"/>
        <w:tblLayout w:type="fixed"/>
        <w:tblLook w:firstColumn="1" w:firstRow="1" w:lastColumn="0" w:lastRow="0" w:noHBand="0" w:noVBand="1" w:val="04A0"/>
        <w:tblInd w:w="120" w:type="dxa"/>
      </w:tblPr>
      <w:tblGrid>
        <w:gridCol w:w="1550"/>
        <w:gridCol w:w="1750"/>
        <w:gridCol w:w="2750"/>
        <w:gridCol w:w="2050"/>
        <w:gridCol w:w="1260"/>
      </w:tblGrid>
      <w:tr>
        <w:tc>
          <w:tcPr>
            <w:tcW w:type="dxa" w:w="15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Workstream</w:t>
            </w:r>
          </w:p>
        </w:tc>
        <w:tc>
          <w:tcPr>
            <w:tcW w:type="dxa" w:w="17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Owner</w:t>
            </w:r>
          </w:p>
        </w:tc>
        <w:tc>
          <w:tcPr>
            <w:tcW w:type="dxa" w:w="27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Deliverable</w:t>
            </w:r>
          </w:p>
        </w:tc>
        <w:tc>
          <w:tcPr>
            <w:tcW w:type="dxa" w:w="20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Decision rights</w:t>
            </w:r>
          </w:p>
        </w:tc>
        <w:tc>
          <w:tcPr>
            <w:tcW w:type="dxa" w:w="126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Deadline</w:t>
            </w:r>
          </w:p>
        </w:tc>
      </w:tr>
      <w:tr>
        <w:tc>
          <w:tcPr>
            <w:tcW w:type="dxa" w:w="1550"/>
            <w:vAlign w:val="center"/>
          </w:tcPr>
          <w:p>
            <w:pPr>
              <w:spacing w:before="0" w:after="0" w:line="252" w:lineRule="auto"/>
            </w:pPr>
            <w:r/>
            <w:r>
              <w:rPr>
                <w:rFonts w:ascii="Calibri" w:hAnsi="Calibri" w:eastAsia="Calibri"/>
                <w:b/>
                <w:sz w:val="16"/>
              </w:rPr>
              <w:t>Executive sponsorship</w:t>
            </w:r>
          </w:p>
        </w:tc>
        <w:tc>
          <w:tcPr>
            <w:tcW w:type="dxa" w:w="1750"/>
            <w:vAlign w:val="center"/>
          </w:tcPr>
          <w:p>
            <w:pPr>
              <w:spacing w:before="0" w:after="0" w:line="252" w:lineRule="auto"/>
            </w:pPr>
            <w:r/>
            <w:r>
              <w:rPr>
                <w:rFonts w:ascii="Calibri" w:hAnsi="Calibri" w:eastAsia="Calibri"/>
                <w:b w:val="0"/>
                <w:sz w:val="16"/>
              </w:rPr>
              <w:t>Project sponsor or designated lead</w:t>
            </w:r>
          </w:p>
        </w:tc>
        <w:tc>
          <w:tcPr>
            <w:tcW w:type="dxa" w:w="2750"/>
            <w:vAlign w:val="center"/>
          </w:tcPr>
          <w:p>
            <w:pPr>
              <w:spacing w:before="0" w:after="0" w:line="252" w:lineRule="auto"/>
            </w:pPr>
            <w:r/>
            <w:r>
              <w:rPr>
                <w:rFonts w:ascii="Calibri" w:hAnsi="Calibri" w:eastAsia="Calibri"/>
                <w:b w:val="0"/>
                <w:sz w:val="16"/>
              </w:rPr>
              <w:t>Charter, mandate, escalation route</w:t>
            </w:r>
          </w:p>
        </w:tc>
        <w:tc>
          <w:tcPr>
            <w:tcW w:type="dxa" w:w="2050"/>
            <w:vAlign w:val="center"/>
          </w:tcPr>
          <w:p>
            <w:pPr>
              <w:spacing w:before="0" w:after="0" w:line="252" w:lineRule="auto"/>
            </w:pPr>
            <w:r/>
            <w:r>
              <w:rPr>
                <w:rFonts w:ascii="Calibri" w:hAnsi="Calibri" w:eastAsia="Calibri"/>
                <w:b w:val="0"/>
                <w:sz w:val="16"/>
              </w:rPr>
              <w:t>Scope and resource authorization</w:t>
            </w:r>
          </w:p>
        </w:tc>
        <w:tc>
          <w:tcPr>
            <w:tcW w:type="dxa" w:w="1260"/>
            <w:vAlign w:val="center"/>
          </w:tcPr>
          <w:p>
            <w:pPr>
              <w:spacing w:before="0" w:after="0" w:line="252" w:lineRule="auto"/>
            </w:pPr>
            <w:r/>
            <w:r>
              <w:rPr>
                <w:rFonts w:ascii="Calibri" w:hAnsi="Calibri" w:eastAsia="Calibri"/>
                <w:b w:val="0"/>
                <w:sz w:val="16"/>
              </w:rPr>
              <w:t>Initiation phase</w:t>
            </w:r>
          </w:p>
        </w:tc>
      </w:tr>
      <w:tr>
        <w:tc>
          <w:tcPr>
            <w:tcW w:type="dxa" w:w="1550"/>
            <w:vAlign w:val="center"/>
          </w:tcPr>
          <w:p>
            <w:pPr>
              <w:spacing w:before="0" w:after="0" w:line="252" w:lineRule="auto"/>
            </w:pPr>
            <w:r/>
            <w:r>
              <w:rPr>
                <w:rFonts w:ascii="Calibri" w:hAnsi="Calibri" w:eastAsia="Calibri"/>
                <w:b/>
                <w:sz w:val="16"/>
              </w:rPr>
              <w:t>Academic mapping</w:t>
            </w:r>
          </w:p>
        </w:tc>
        <w:tc>
          <w:tcPr>
            <w:tcW w:type="dxa" w:w="1750"/>
            <w:vAlign w:val="center"/>
          </w:tcPr>
          <w:p>
            <w:pPr>
              <w:spacing w:before="0" w:after="0" w:line="252" w:lineRule="auto"/>
            </w:pPr>
            <w:r/>
            <w:r>
              <w:rPr>
                <w:rFonts w:ascii="Calibri" w:hAnsi="Calibri" w:eastAsia="Calibri"/>
                <w:b w:val="0"/>
                <w:sz w:val="16"/>
              </w:rPr>
              <w:t>College / department academic lead</w:t>
            </w:r>
          </w:p>
        </w:tc>
        <w:tc>
          <w:tcPr>
            <w:tcW w:type="dxa" w:w="2750"/>
            <w:vAlign w:val="center"/>
          </w:tcPr>
          <w:p>
            <w:pPr>
              <w:spacing w:before="0" w:after="0" w:line="252" w:lineRule="auto"/>
            </w:pPr>
            <w:r/>
            <w:r>
              <w:rPr>
                <w:rFonts w:ascii="Calibri" w:hAnsi="Calibri" w:eastAsia="Calibri"/>
                <w:b w:val="0"/>
                <w:sz w:val="16"/>
              </w:rPr>
              <w:t>DMS module mapping, 6/9-module recommendation, faculty assignments</w:t>
            </w:r>
          </w:p>
        </w:tc>
        <w:tc>
          <w:tcPr>
            <w:tcW w:type="dxa" w:w="2050"/>
            <w:vAlign w:val="center"/>
          </w:tcPr>
          <w:p>
            <w:pPr>
              <w:spacing w:before="0" w:after="0" w:line="252" w:lineRule="auto"/>
            </w:pPr>
            <w:r/>
            <w:r>
              <w:rPr>
                <w:rFonts w:ascii="Calibri" w:hAnsi="Calibri" w:eastAsia="Calibri"/>
                <w:b w:val="0"/>
                <w:sz w:val="16"/>
              </w:rPr>
              <w:t>Academic fit and course equivalence proposal</w:t>
            </w:r>
          </w:p>
        </w:tc>
        <w:tc>
          <w:tcPr>
            <w:tcW w:type="dxa" w:w="1260"/>
            <w:vAlign w:val="center"/>
          </w:tcPr>
          <w:p>
            <w:pPr>
              <w:spacing w:before="0" w:after="0" w:line="252" w:lineRule="auto"/>
            </w:pPr>
            <w:r/>
            <w:r>
              <w:rPr>
                <w:rFonts w:ascii="Calibri" w:hAnsi="Calibri" w:eastAsia="Calibri"/>
                <w:b w:val="0"/>
                <w:sz w:val="16"/>
              </w:rPr>
              <w:t>Academic-mapping phase</w:t>
            </w:r>
          </w:p>
        </w:tc>
      </w:tr>
      <w:tr>
        <w:tc>
          <w:tcPr>
            <w:tcW w:type="dxa" w:w="1550"/>
            <w:vAlign w:val="center"/>
          </w:tcPr>
          <w:p>
            <w:pPr>
              <w:spacing w:before="0" w:after="0" w:line="252" w:lineRule="auto"/>
            </w:pPr>
            <w:r/>
            <w:r>
              <w:rPr>
                <w:rFonts w:ascii="Calibri" w:hAnsi="Calibri" w:eastAsia="Calibri"/>
                <w:b/>
                <w:sz w:val="16"/>
              </w:rPr>
              <w:t>Academic Affairs</w:t>
            </w:r>
          </w:p>
        </w:tc>
        <w:tc>
          <w:tcPr>
            <w:tcW w:type="dxa" w:w="1750"/>
            <w:vAlign w:val="center"/>
          </w:tcPr>
          <w:p>
            <w:pPr>
              <w:spacing w:before="0" w:after="0" w:line="252" w:lineRule="auto"/>
            </w:pPr>
            <w:r/>
            <w:r>
              <w:rPr>
                <w:rFonts w:ascii="Calibri" w:hAnsi="Calibri" w:eastAsia="Calibri"/>
                <w:b w:val="0"/>
                <w:sz w:val="16"/>
              </w:rPr>
              <w:t>Academic Affairs lead</w:t>
            </w:r>
          </w:p>
        </w:tc>
        <w:tc>
          <w:tcPr>
            <w:tcW w:type="dxa" w:w="2750"/>
            <w:vAlign w:val="center"/>
          </w:tcPr>
          <w:p>
            <w:pPr>
              <w:spacing w:before="0" w:after="0" w:line="252" w:lineRule="auto"/>
            </w:pPr>
            <w:r/>
            <w:r>
              <w:rPr>
                <w:rFonts w:ascii="Calibri" w:hAnsi="Calibri" w:eastAsia="Calibri"/>
                <w:b w:val="0"/>
                <w:sz w:val="16"/>
              </w:rPr>
              <w:t>Credit conversion, recognition, CGU degree eligibility, student status</w:t>
            </w:r>
          </w:p>
        </w:tc>
        <w:tc>
          <w:tcPr>
            <w:tcW w:type="dxa" w:w="2050"/>
            <w:vAlign w:val="center"/>
          </w:tcPr>
          <w:p>
            <w:pPr>
              <w:spacing w:before="0" w:after="0" w:line="252" w:lineRule="auto"/>
            </w:pPr>
            <w:r/>
            <w:r>
              <w:rPr>
                <w:rFonts w:ascii="Calibri" w:hAnsi="Calibri" w:eastAsia="Calibri"/>
                <w:b w:val="0"/>
                <w:sz w:val="16"/>
              </w:rPr>
              <w:t>CGU policy interpretation and approval pathway</w:t>
            </w:r>
          </w:p>
        </w:tc>
        <w:tc>
          <w:tcPr>
            <w:tcW w:type="dxa" w:w="1260"/>
            <w:vAlign w:val="center"/>
          </w:tcPr>
          <w:p>
            <w:pPr>
              <w:spacing w:before="0" w:after="0" w:line="252" w:lineRule="auto"/>
            </w:pPr>
            <w:r/>
            <w:r>
              <w:rPr>
                <w:rFonts w:ascii="Calibri" w:hAnsi="Calibri" w:eastAsia="Calibri"/>
                <w:b w:val="0"/>
                <w:sz w:val="16"/>
              </w:rPr>
              <w:t>Academic-rules phase</w:t>
            </w:r>
          </w:p>
        </w:tc>
      </w:tr>
      <w:tr>
        <w:tc>
          <w:tcPr>
            <w:tcW w:type="dxa" w:w="1550"/>
            <w:vAlign w:val="center"/>
          </w:tcPr>
          <w:p>
            <w:pPr>
              <w:spacing w:before="0" w:after="0" w:line="252" w:lineRule="auto"/>
            </w:pPr>
            <w:r/>
            <w:r>
              <w:rPr>
                <w:rFonts w:ascii="Calibri" w:hAnsi="Calibri" w:eastAsia="Calibri"/>
                <w:b/>
                <w:sz w:val="16"/>
              </w:rPr>
              <w:t>Admissions / MOE compliance</w:t>
            </w:r>
          </w:p>
        </w:tc>
        <w:tc>
          <w:tcPr>
            <w:tcW w:type="dxa" w:w="1750"/>
            <w:vAlign w:val="center"/>
          </w:tcPr>
          <w:p>
            <w:pPr>
              <w:spacing w:before="0" w:after="0" w:line="252" w:lineRule="auto"/>
            </w:pPr>
            <w:r/>
            <w:r>
              <w:rPr>
                <w:rFonts w:ascii="Calibri" w:hAnsi="Calibri" w:eastAsia="Calibri"/>
                <w:b w:val="0"/>
                <w:sz w:val="16"/>
              </w:rPr>
              <w:t>Admissions and Academic Affairs leads</w:t>
            </w:r>
          </w:p>
        </w:tc>
        <w:tc>
          <w:tcPr>
            <w:tcW w:type="dxa" w:w="2750"/>
            <w:vAlign w:val="center"/>
          </w:tcPr>
          <w:p>
            <w:pPr>
              <w:spacing w:before="0" w:after="0" w:line="252" w:lineRule="auto"/>
            </w:pPr>
            <w:r/>
            <w:r>
              <w:rPr>
                <w:rFonts w:ascii="Calibri" w:hAnsi="Calibri" w:eastAsia="Calibri"/>
                <w:b w:val="0"/>
                <w:sz w:val="16"/>
              </w:rPr>
              <w:t>Independent-admissions rationale, tuition/quota framing, MOE consultation and submission path</w:t>
            </w:r>
          </w:p>
        </w:tc>
        <w:tc>
          <w:tcPr>
            <w:tcW w:type="dxa" w:w="2050"/>
            <w:vAlign w:val="center"/>
          </w:tcPr>
          <w:p>
            <w:pPr>
              <w:spacing w:before="0" w:after="0" w:line="252" w:lineRule="auto"/>
            </w:pPr>
            <w:r/>
            <w:r>
              <w:rPr>
                <w:rFonts w:ascii="Calibri" w:hAnsi="Calibri" w:eastAsia="Calibri"/>
                <w:b w:val="0"/>
                <w:sz w:val="16"/>
              </w:rPr>
              <w:t>Whether the recruitment model can lawfully proceed</w:t>
            </w:r>
          </w:p>
        </w:tc>
        <w:tc>
          <w:tcPr>
            <w:tcW w:type="dxa" w:w="1260"/>
            <w:vAlign w:val="center"/>
          </w:tcPr>
          <w:p>
            <w:pPr>
              <w:spacing w:before="0" w:after="0" w:line="252" w:lineRule="auto"/>
            </w:pPr>
            <w:r/>
            <w:r>
              <w:rPr>
                <w:rFonts w:ascii="Calibri" w:hAnsi="Calibri" w:eastAsia="Calibri"/>
                <w:b w:val="0"/>
                <w:sz w:val="16"/>
              </w:rPr>
              <w:t>Policy-framing phase</w:t>
            </w:r>
          </w:p>
        </w:tc>
      </w:tr>
      <w:tr>
        <w:tc>
          <w:tcPr>
            <w:tcW w:type="dxa" w:w="1550"/>
            <w:vAlign w:val="center"/>
          </w:tcPr>
          <w:p>
            <w:pPr>
              <w:spacing w:before="0" w:after="0" w:line="252" w:lineRule="auto"/>
            </w:pPr>
            <w:r/>
            <w:r>
              <w:rPr>
                <w:rFonts w:ascii="Calibri" w:hAnsi="Calibri" w:eastAsia="Calibri"/>
                <w:b/>
                <w:sz w:val="16"/>
              </w:rPr>
              <w:t>Legal</w:t>
            </w:r>
          </w:p>
        </w:tc>
        <w:tc>
          <w:tcPr>
            <w:tcW w:type="dxa" w:w="1750"/>
            <w:vAlign w:val="center"/>
          </w:tcPr>
          <w:p>
            <w:pPr>
              <w:spacing w:before="0" w:after="0" w:line="252" w:lineRule="auto"/>
            </w:pPr>
            <w:r/>
            <w:r>
              <w:rPr>
                <w:rFonts w:ascii="Calibri" w:hAnsi="Calibri" w:eastAsia="Calibri"/>
                <w:b w:val="0"/>
                <w:sz w:val="16"/>
              </w:rPr>
              <w:t>Legal lead</w:t>
            </w:r>
          </w:p>
        </w:tc>
        <w:tc>
          <w:tcPr>
            <w:tcW w:type="dxa" w:w="2750"/>
            <w:vAlign w:val="center"/>
          </w:tcPr>
          <w:p>
            <w:pPr>
              <w:spacing w:before="0" w:after="0" w:line="252" w:lineRule="auto"/>
            </w:pPr>
            <w:r/>
            <w:r>
              <w:rPr>
                <w:rFonts w:ascii="Calibri" w:hAnsi="Calibri" w:eastAsia="Calibri"/>
                <w:b w:val="0"/>
                <w:sz w:val="16"/>
              </w:rPr>
              <w:t>NDA review, PDPA controls, no-publicity guidance, agreement red flags</w:t>
            </w:r>
          </w:p>
        </w:tc>
        <w:tc>
          <w:tcPr>
            <w:tcW w:type="dxa" w:w="2050"/>
            <w:vAlign w:val="center"/>
          </w:tcPr>
          <w:p>
            <w:pPr>
              <w:spacing w:before="0" w:after="0" w:line="252" w:lineRule="auto"/>
            </w:pPr>
            <w:r/>
            <w:r>
              <w:rPr>
                <w:rFonts w:ascii="Calibri" w:hAnsi="Calibri" w:eastAsia="Calibri"/>
                <w:b w:val="0"/>
                <w:sz w:val="16"/>
              </w:rPr>
              <w:t>Contract risk and signature readiness</w:t>
            </w:r>
          </w:p>
        </w:tc>
        <w:tc>
          <w:tcPr>
            <w:tcW w:type="dxa" w:w="1260"/>
            <w:vAlign w:val="center"/>
          </w:tcPr>
          <w:p>
            <w:pPr>
              <w:spacing w:before="0" w:after="0" w:line="252" w:lineRule="auto"/>
            </w:pPr>
            <w:r/>
            <w:r>
              <w:rPr>
                <w:rFonts w:ascii="Calibri" w:hAnsi="Calibri" w:eastAsia="Calibri"/>
                <w:b w:val="0"/>
                <w:sz w:val="16"/>
              </w:rPr>
              <w:t>Legal gate phase</w:t>
            </w:r>
          </w:p>
        </w:tc>
      </w:tr>
      <w:tr>
        <w:tc>
          <w:tcPr>
            <w:tcW w:type="dxa" w:w="1550"/>
            <w:vAlign w:val="center"/>
          </w:tcPr>
          <w:p>
            <w:pPr>
              <w:spacing w:before="0" w:after="0" w:line="252" w:lineRule="auto"/>
            </w:pPr>
            <w:r/>
            <w:r>
              <w:rPr>
                <w:rFonts w:ascii="Calibri" w:hAnsi="Calibri" w:eastAsia="Calibri"/>
                <w:b/>
                <w:sz w:val="16"/>
              </w:rPr>
              <w:t>International liaison</w:t>
            </w:r>
          </w:p>
        </w:tc>
        <w:tc>
          <w:tcPr>
            <w:tcW w:type="dxa" w:w="1750"/>
            <w:vAlign w:val="center"/>
          </w:tcPr>
          <w:p>
            <w:pPr>
              <w:spacing w:before="0" w:after="0" w:line="252" w:lineRule="auto"/>
            </w:pPr>
            <w:r/>
            <w:r>
              <w:rPr>
                <w:rFonts w:ascii="Calibri" w:hAnsi="Calibri" w:eastAsia="Calibri"/>
                <w:b w:val="0"/>
                <w:sz w:val="16"/>
              </w:rPr>
              <w:t>International Affairs / SIM liaison</w:t>
            </w:r>
          </w:p>
        </w:tc>
        <w:tc>
          <w:tcPr>
            <w:tcW w:type="dxa" w:w="2750"/>
            <w:vAlign w:val="center"/>
          </w:tcPr>
          <w:p>
            <w:pPr>
              <w:spacing w:before="0" w:after="0" w:line="252" w:lineRule="auto"/>
            </w:pPr>
            <w:r/>
            <w:r>
              <w:rPr>
                <w:rFonts w:ascii="Calibri" w:hAnsi="Calibri" w:eastAsia="Calibri"/>
                <w:b w:val="0"/>
                <w:sz w:val="16"/>
              </w:rPr>
              <w:t>SIM questions, document exchange, meeting records</w:t>
            </w:r>
          </w:p>
        </w:tc>
        <w:tc>
          <w:tcPr>
            <w:tcW w:type="dxa" w:w="2050"/>
            <w:vAlign w:val="center"/>
          </w:tcPr>
          <w:p>
            <w:pPr>
              <w:spacing w:before="0" w:after="0" w:line="252" w:lineRule="auto"/>
            </w:pPr>
            <w:r/>
            <w:r>
              <w:rPr>
                <w:rFonts w:ascii="Calibri" w:hAnsi="Calibri" w:eastAsia="Calibri"/>
                <w:b w:val="0"/>
                <w:sz w:val="16"/>
              </w:rPr>
              <w:t>External coordination discipline</w:t>
            </w:r>
          </w:p>
        </w:tc>
        <w:tc>
          <w:tcPr>
            <w:tcW w:type="dxa" w:w="1260"/>
            <w:vAlign w:val="center"/>
          </w:tcPr>
          <w:p>
            <w:pPr>
              <w:spacing w:before="0" w:after="0" w:line="252" w:lineRule="auto"/>
            </w:pPr>
            <w:r/>
            <w:r>
              <w:rPr>
                <w:rFonts w:ascii="Calibri" w:hAnsi="Calibri" w:eastAsia="Calibri"/>
                <w:b w:val="0"/>
                <w:sz w:val="16"/>
              </w:rPr>
              <w:t>SIM clarification phase</w:t>
            </w:r>
          </w:p>
        </w:tc>
      </w:tr>
      <w:tr>
        <w:tc>
          <w:tcPr>
            <w:tcW w:type="dxa" w:w="1550"/>
            <w:vAlign w:val="center"/>
          </w:tcPr>
          <w:p>
            <w:pPr>
              <w:spacing w:before="0" w:after="0" w:line="252" w:lineRule="auto"/>
            </w:pPr>
            <w:r/>
            <w:r>
              <w:rPr>
                <w:rFonts w:ascii="Calibri" w:hAnsi="Calibri" w:eastAsia="Calibri"/>
                <w:b/>
                <w:sz w:val="16"/>
              </w:rPr>
              <w:t>Staffing</w:t>
            </w:r>
          </w:p>
        </w:tc>
        <w:tc>
          <w:tcPr>
            <w:tcW w:type="dxa" w:w="1750"/>
            <w:vAlign w:val="center"/>
          </w:tcPr>
          <w:p>
            <w:pPr>
              <w:spacing w:before="0" w:after="0" w:line="252" w:lineRule="auto"/>
            </w:pPr>
            <w:r/>
            <w:r>
              <w:rPr>
                <w:rFonts w:ascii="Calibri" w:hAnsi="Calibri" w:eastAsia="Calibri"/>
                <w:b w:val="0"/>
                <w:sz w:val="16"/>
              </w:rPr>
              <w:t>Staffing lead</w:t>
            </w:r>
          </w:p>
        </w:tc>
        <w:tc>
          <w:tcPr>
            <w:tcW w:type="dxa" w:w="2750"/>
            <w:vAlign w:val="center"/>
          </w:tcPr>
          <w:p>
            <w:pPr>
              <w:spacing w:before="0" w:after="0" w:line="252" w:lineRule="auto"/>
            </w:pPr>
            <w:r/>
            <w:r>
              <w:rPr>
                <w:rFonts w:ascii="Calibri" w:hAnsi="Calibri" w:eastAsia="Calibri"/>
                <w:b w:val="0"/>
                <w:sz w:val="16"/>
              </w:rPr>
              <w:t>Teaching profile forms, CVs, certificates/transcripts, English-readiness matrix</w:t>
            </w:r>
          </w:p>
        </w:tc>
        <w:tc>
          <w:tcPr>
            <w:tcW w:type="dxa" w:w="2050"/>
            <w:vAlign w:val="center"/>
          </w:tcPr>
          <w:p>
            <w:pPr>
              <w:spacing w:before="0" w:after="0" w:line="252" w:lineRule="auto"/>
            </w:pPr>
            <w:r/>
            <w:r>
              <w:rPr>
                <w:rFonts w:ascii="Calibri" w:hAnsi="Calibri" w:eastAsia="Calibri"/>
                <w:b w:val="0"/>
                <w:sz w:val="16"/>
              </w:rPr>
              <w:t>Faculty readiness for 6/9 module scenarios</w:t>
            </w:r>
          </w:p>
        </w:tc>
        <w:tc>
          <w:tcPr>
            <w:tcW w:type="dxa" w:w="1260"/>
            <w:vAlign w:val="center"/>
          </w:tcPr>
          <w:p>
            <w:pPr>
              <w:spacing w:before="0" w:after="0" w:line="252" w:lineRule="auto"/>
            </w:pPr>
            <w:r/>
            <w:r>
              <w:rPr>
                <w:rFonts w:ascii="Calibri" w:hAnsi="Calibri" w:eastAsia="Calibri"/>
                <w:b w:val="0"/>
                <w:sz w:val="16"/>
              </w:rPr>
              <w:t>Staffing-readiness phase</w:t>
            </w:r>
          </w:p>
        </w:tc>
      </w:tr>
      <w:tr>
        <w:tc>
          <w:tcPr>
            <w:tcW w:type="dxa" w:w="1550"/>
            <w:vAlign w:val="center"/>
          </w:tcPr>
          <w:p>
            <w:pPr>
              <w:spacing w:before="0" w:after="0" w:line="252" w:lineRule="auto"/>
            </w:pPr>
            <w:r/>
            <w:r>
              <w:rPr>
                <w:rFonts w:ascii="Calibri" w:hAnsi="Calibri" w:eastAsia="Calibri"/>
                <w:b/>
                <w:sz w:val="16"/>
              </w:rPr>
              <w:t>Operations</w:t>
            </w:r>
          </w:p>
        </w:tc>
        <w:tc>
          <w:tcPr>
            <w:tcW w:type="dxa" w:w="1750"/>
            <w:vAlign w:val="center"/>
          </w:tcPr>
          <w:p>
            <w:pPr>
              <w:spacing w:before="0" w:after="0" w:line="252" w:lineRule="auto"/>
            </w:pPr>
            <w:r/>
            <w:r>
              <w:rPr>
                <w:rFonts w:ascii="Calibri" w:hAnsi="Calibri" w:eastAsia="Calibri"/>
                <w:b w:val="0"/>
                <w:sz w:val="16"/>
              </w:rPr>
              <w:t>Operations lead</w:t>
            </w:r>
          </w:p>
        </w:tc>
        <w:tc>
          <w:tcPr>
            <w:tcW w:type="dxa" w:w="2750"/>
            <w:vAlign w:val="center"/>
          </w:tcPr>
          <w:p>
            <w:pPr>
              <w:spacing w:before="0" w:after="0" w:line="252" w:lineRule="auto"/>
            </w:pPr>
            <w:r/>
            <w:r>
              <w:rPr>
                <w:rFonts w:ascii="Calibri" w:hAnsi="Calibri" w:eastAsia="Calibri"/>
                <w:b w:val="0"/>
                <w:sz w:val="16"/>
              </w:rPr>
              <w:t>Facilities evidence, timetable, assessment logistics, audit file</w:t>
            </w:r>
          </w:p>
        </w:tc>
        <w:tc>
          <w:tcPr>
            <w:tcW w:type="dxa" w:w="2050"/>
            <w:vAlign w:val="center"/>
          </w:tcPr>
          <w:p>
            <w:pPr>
              <w:spacing w:before="0" w:after="0" w:line="252" w:lineRule="auto"/>
            </w:pPr>
            <w:r/>
            <w:r>
              <w:rPr>
                <w:rFonts w:ascii="Calibri" w:hAnsi="Calibri" w:eastAsia="Calibri"/>
                <w:b w:val="0"/>
                <w:sz w:val="16"/>
              </w:rPr>
              <w:t>Operational feasibility and launch readiness</w:t>
            </w:r>
          </w:p>
        </w:tc>
        <w:tc>
          <w:tcPr>
            <w:tcW w:type="dxa" w:w="1260"/>
            <w:vAlign w:val="center"/>
          </w:tcPr>
          <w:p>
            <w:pPr>
              <w:spacing w:before="0" w:after="0" w:line="252" w:lineRule="auto"/>
            </w:pPr>
            <w:r/>
            <w:r>
              <w:rPr>
                <w:rFonts w:ascii="Calibri" w:hAnsi="Calibri" w:eastAsia="Calibri"/>
                <w:b w:val="0"/>
                <w:sz w:val="16"/>
              </w:rPr>
              <w:t>Application-preparation phase</w:t>
            </w:r>
          </w:p>
        </w:tc>
      </w:tr>
      <w:tr>
        <w:tc>
          <w:tcPr>
            <w:tcW w:type="dxa" w:w="1550"/>
            <w:vAlign w:val="center"/>
          </w:tcPr>
          <w:p>
            <w:pPr>
              <w:spacing w:before="0" w:after="0" w:line="252" w:lineRule="auto"/>
            </w:pPr>
            <w:r/>
            <w:r>
              <w:rPr>
                <w:rFonts w:ascii="Calibri" w:hAnsi="Calibri" w:eastAsia="Calibri"/>
                <w:b/>
                <w:sz w:val="16"/>
              </w:rPr>
              <w:t>Recruitment and advising</w:t>
            </w:r>
          </w:p>
        </w:tc>
        <w:tc>
          <w:tcPr>
            <w:tcW w:type="dxa" w:w="1750"/>
            <w:vAlign w:val="center"/>
          </w:tcPr>
          <w:p>
            <w:pPr>
              <w:spacing w:before="0" w:after="0" w:line="252" w:lineRule="auto"/>
            </w:pPr>
            <w:r/>
            <w:r>
              <w:rPr>
                <w:rFonts w:ascii="Calibri" w:hAnsi="Calibri" w:eastAsia="Calibri"/>
                <w:b w:val="0"/>
                <w:sz w:val="16"/>
              </w:rPr>
              <w:t>Recruitment/advising lead</w:t>
            </w:r>
          </w:p>
        </w:tc>
        <w:tc>
          <w:tcPr>
            <w:tcW w:type="dxa" w:w="2750"/>
            <w:vAlign w:val="center"/>
          </w:tcPr>
          <w:p>
            <w:pPr>
              <w:spacing w:before="0" w:after="0" w:line="252" w:lineRule="auto"/>
            </w:pPr>
            <w:r/>
            <w:r>
              <w:rPr>
                <w:rFonts w:ascii="Calibri" w:hAnsi="Calibri" w:eastAsia="Calibri"/>
                <w:b w:val="0"/>
                <w:sz w:val="16"/>
              </w:rPr>
              <w:t>Independent admissions concept, family advising scripts, no-publicity compliance</w:t>
            </w:r>
          </w:p>
        </w:tc>
        <w:tc>
          <w:tcPr>
            <w:tcW w:type="dxa" w:w="2050"/>
            <w:vAlign w:val="center"/>
          </w:tcPr>
          <w:p>
            <w:pPr>
              <w:spacing w:before="0" w:after="0" w:line="252" w:lineRule="auto"/>
            </w:pPr>
            <w:r/>
            <w:r>
              <w:rPr>
                <w:rFonts w:ascii="Calibri" w:hAnsi="Calibri" w:eastAsia="Calibri"/>
                <w:b w:val="0"/>
                <w:sz w:val="16"/>
              </w:rPr>
              <w:t>Student-facing claims after SIM and MOE approvals</w:t>
            </w:r>
          </w:p>
        </w:tc>
        <w:tc>
          <w:tcPr>
            <w:tcW w:type="dxa" w:w="1260"/>
            <w:vAlign w:val="center"/>
          </w:tcPr>
          <w:p>
            <w:pPr>
              <w:spacing w:before="0" w:after="0" w:line="252" w:lineRule="auto"/>
            </w:pPr>
            <w:r/>
            <w:r>
              <w:rPr>
                <w:rFonts w:ascii="Calibri" w:hAnsi="Calibri" w:eastAsia="Calibri"/>
                <w:b w:val="0"/>
                <w:sz w:val="16"/>
              </w:rPr>
              <w:t>After approval route is confirmed</w:t>
            </w:r>
          </w:p>
        </w:tc>
      </w:tr>
      <w:tr>
        <w:tc>
          <w:tcPr>
            <w:tcW w:type="dxa" w:w="1550"/>
            <w:vAlign w:val="center"/>
          </w:tcPr>
          <w:p>
            <w:pPr>
              <w:spacing w:before="0" w:after="0" w:line="252" w:lineRule="auto"/>
            </w:pPr>
            <w:r/>
            <w:r>
              <w:rPr>
                <w:rFonts w:ascii="Calibri" w:hAnsi="Calibri" w:eastAsia="Calibri"/>
                <w:b/>
                <w:sz w:val="16"/>
              </w:rPr>
              <w:t>Finance</w:t>
            </w:r>
          </w:p>
        </w:tc>
        <w:tc>
          <w:tcPr>
            <w:tcW w:type="dxa" w:w="1750"/>
            <w:vAlign w:val="center"/>
          </w:tcPr>
          <w:p>
            <w:pPr>
              <w:spacing w:before="0" w:after="0" w:line="252" w:lineRule="auto"/>
            </w:pPr>
            <w:r/>
            <w:r>
              <w:rPr>
                <w:rFonts w:ascii="Calibri" w:hAnsi="Calibri" w:eastAsia="Calibri"/>
                <w:b w:val="0"/>
                <w:sz w:val="16"/>
              </w:rPr>
              <w:t>Finance/business-case lead</w:t>
            </w:r>
          </w:p>
        </w:tc>
        <w:tc>
          <w:tcPr>
            <w:tcW w:type="dxa" w:w="2750"/>
            <w:vAlign w:val="center"/>
          </w:tcPr>
          <w:p>
            <w:pPr>
              <w:spacing w:before="0" w:after="0" w:line="252" w:lineRule="auto"/>
            </w:pPr>
            <w:r/>
            <w:r>
              <w:rPr>
                <w:rFonts w:ascii="Calibri" w:hAnsi="Calibri" w:eastAsia="Calibri"/>
                <w:b w:val="0"/>
                <w:sz w:val="16"/>
              </w:rPr>
              <w:t>Fee model, revenue share analysis, audit costs, break-even threshold</w:t>
            </w:r>
          </w:p>
        </w:tc>
        <w:tc>
          <w:tcPr>
            <w:tcW w:type="dxa" w:w="2050"/>
            <w:vAlign w:val="center"/>
          </w:tcPr>
          <w:p>
            <w:pPr>
              <w:spacing w:before="0" w:after="0" w:line="252" w:lineRule="auto"/>
            </w:pPr>
            <w:r/>
            <w:r>
              <w:rPr>
                <w:rFonts w:ascii="Calibri" w:hAnsi="Calibri" w:eastAsia="Calibri"/>
                <w:b w:val="0"/>
                <w:sz w:val="16"/>
              </w:rPr>
              <w:t>Business sustainability recommendation</w:t>
            </w:r>
          </w:p>
        </w:tc>
        <w:tc>
          <w:tcPr>
            <w:tcW w:type="dxa" w:w="1260"/>
            <w:vAlign w:val="center"/>
          </w:tcPr>
          <w:p>
            <w:pPr>
              <w:spacing w:before="0" w:after="0" w:line="252" w:lineRule="auto"/>
            </w:pPr>
            <w:r/>
            <w:r>
              <w:rPr>
                <w:rFonts w:ascii="Calibri" w:hAnsi="Calibri" w:eastAsia="Calibri"/>
                <w:b w:val="0"/>
                <w:sz w:val="16"/>
              </w:rPr>
              <w:t>After Annexes</w:t>
            </w:r>
          </w:p>
        </w:tc>
      </w:tr>
    </w:tbl>
    <w:p>
      <w:pPr>
        <w:spacing w:before="0" w:after="160" w:line="264" w:lineRule="auto"/>
      </w:pPr>
    </w:p>
    <w:p>
      <w:r>
        <w:br w:type="page"/>
      </w:r>
    </w:p>
    <w:p>
      <w:bookmarkStart w:id="6" w:name="toc_modules"/>
      <w:pPr>
        <w:pStyle w:val="Heading1"/>
        <w:spacing w:before="320" w:after="160" w:line="264" w:lineRule="auto"/>
      </w:pPr>
      <w:r>
        <w:rPr>
          <w:rFonts w:ascii="Calibri" w:hAnsi="Calibri" w:eastAsia="Calibri"/>
          <w:b/>
          <w:color w:val="2E74B5"/>
          <w:sz w:val="32"/>
        </w:rPr>
        <w:t>DMS Modules</w:t>
      </w:r>
      <w:bookmarkEnd w:id="6"/>
    </w:p>
    <w:p>
      <w:pPr>
        <w:spacing w:before="0" w:after="120" w:line="264" w:lineRule="auto"/>
      </w:pPr>
      <w:r>
        <w:rPr>
          <w:rFonts w:ascii="Calibri" w:hAnsi="Calibri" w:eastAsia="Calibri"/>
          <w:b w:val="0"/>
          <w:sz w:val="22"/>
        </w:rPr>
        <w:t>The official DMS PDF lists 15 modules at 42 contact hours each, totaling 630 contact hours over a 15-month full-time programme.</w:t>
      </w:r>
    </w:p>
    <w:p>
      <w:pPr>
        <w:spacing w:before="0" w:after="120" w:line="264" w:lineRule="auto"/>
      </w:pPr>
      <w:r>
        <w:rPr>
          <w:rFonts w:ascii="Calibri" w:hAnsi="Calibri" w:eastAsia="Calibri"/>
          <w:b w:val="0"/>
          <w:sz w:val="22"/>
        </w:rPr>
        <w:t>The DMS PDF order differs from the xlsx Data-sheet DMS list. CGU should not lock a teaching sequence until SIM confirms the exact 6 or 9 modules.</w:t>
      </w:r>
    </w:p>
    <w:tbl>
      <w:tblPr>
        <w:tblStyle w:val="TableGrid"/>
        <w:tblW w:type="dxa" w:w="9360"/>
        <w:jc w:val="left"/>
        <w:tblLayout w:type="fixed"/>
        <w:tblLook w:firstColumn="1" w:firstRow="1" w:lastColumn="0" w:lastRow="0" w:noHBand="0" w:noVBand="1" w:val="04A0"/>
        <w:tblInd w:w="120" w:type="dxa"/>
      </w:tblPr>
      <w:tblGrid>
        <w:gridCol w:w="1800"/>
        <w:gridCol w:w="600"/>
        <w:gridCol w:w="1650"/>
        <w:gridCol w:w="1450"/>
        <w:gridCol w:w="1150"/>
        <w:gridCol w:w="2050"/>
        <w:gridCol w:w="660"/>
      </w:tblGrid>
      <w:tr>
        <w:tc>
          <w:tcPr>
            <w:tcW w:type="dxa" w:w="18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SIM module</w:t>
            </w:r>
          </w:p>
        </w:tc>
        <w:tc>
          <w:tcPr>
            <w:tcW w:type="dxa" w:w="6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Hours</w:t>
            </w:r>
          </w:p>
        </w:tc>
        <w:tc>
          <w:tcPr>
            <w:tcW w:type="dxa" w:w="16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Possible CGU equivalent</w:t>
            </w:r>
          </w:p>
        </w:tc>
        <w:tc>
          <w:tcPr>
            <w:tcW w:type="dxa" w:w="14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Potential CGU faculty</w:t>
            </w:r>
          </w:p>
        </w:tc>
        <w:tc>
          <w:tcPr>
            <w:tcW w:type="dxa" w:w="11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English-medium readiness</w:t>
            </w:r>
          </w:p>
        </w:tc>
        <w:tc>
          <w:tcPr>
            <w:tcW w:type="dxa" w:w="20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Qualification evidence</w:t>
            </w:r>
          </w:p>
        </w:tc>
        <w:tc>
          <w:tcPr>
            <w:tcW w:type="dxa" w:w="66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Risk</w:t>
            </w:r>
          </w:p>
        </w:tc>
      </w:tr>
      <w:tr>
        <w:tc>
          <w:tcPr>
            <w:tcW w:type="dxa" w:w="1800"/>
            <w:vAlign w:val="center"/>
          </w:tcPr>
          <w:p>
            <w:pPr>
              <w:spacing w:before="0" w:after="0" w:line="252" w:lineRule="auto"/>
            </w:pPr>
            <w:r/>
            <w:r>
              <w:rPr>
                <w:rFonts w:ascii="Calibri" w:hAnsi="Calibri" w:eastAsia="Calibri"/>
                <w:b/>
                <w:sz w:val="15"/>
              </w:rPr>
              <w:t>English For Business</w:t>
            </w:r>
          </w:p>
        </w:tc>
        <w:tc>
          <w:tcPr>
            <w:tcW w:type="dxa" w:w="600"/>
            <w:vAlign w:val="center"/>
          </w:tcPr>
          <w:p>
            <w:pPr>
              <w:spacing w:before="0" w:after="0" w:line="252" w:lineRule="auto"/>
            </w:pPr>
            <w:r/>
            <w:r>
              <w:rPr>
                <w:rFonts w:ascii="Calibri" w:hAnsi="Calibri" w:eastAsia="Calibri"/>
                <w:b w:val="0"/>
                <w:sz w:val="15"/>
              </w:rPr>
              <w:t>42</w:t>
            </w:r>
          </w:p>
        </w:tc>
        <w:tc>
          <w:tcPr>
            <w:tcW w:type="dxa" w:w="1650"/>
            <w:vAlign w:val="center"/>
          </w:tcPr>
          <w:p>
            <w:pPr>
              <w:spacing w:before="0" w:after="0" w:line="252" w:lineRule="auto"/>
            </w:pPr>
            <w:r/>
            <w:r>
              <w:rPr>
                <w:rFonts w:ascii="Calibri" w:hAnsi="Calibri" w:eastAsia="Calibri"/>
                <w:b w:val="0"/>
                <w:sz w:val="15"/>
              </w:rPr>
              <w:t>Business English / professional communication</w:t>
            </w:r>
          </w:p>
        </w:tc>
        <w:tc>
          <w:tcPr>
            <w:tcW w:type="dxa" w:w="1450"/>
            <w:vAlign w:val="center"/>
          </w:tcPr>
          <w:p>
            <w:pPr>
              <w:spacing w:before="0" w:after="0" w:line="252" w:lineRule="auto"/>
            </w:pPr>
            <w:r/>
            <w:r>
              <w:rPr>
                <w:rFonts w:ascii="Calibri" w:hAnsi="Calibri" w:eastAsia="Calibri"/>
                <w:b w:val="0"/>
                <w:sz w:val="15"/>
              </w:rPr>
              <w:t>Language or management faculty</w:t>
            </w:r>
          </w:p>
        </w:tc>
        <w:tc>
          <w:tcPr>
            <w:tcW w:type="dxa" w:w="1150"/>
            <w:vAlign w:val="center"/>
          </w:tcPr>
          <w:p>
            <w:pPr>
              <w:spacing w:before="0" w:after="0" w:line="252" w:lineRule="auto"/>
            </w:pPr>
            <w:r/>
            <w:r>
              <w:rPr>
                <w:rFonts w:ascii="Calibri" w:hAnsi="Calibri" w:eastAsia="Calibri"/>
                <w:b w:val="0"/>
                <w:sz w:val="15"/>
              </w:rPr>
              <w:t>High required</w:t>
            </w:r>
          </w:p>
        </w:tc>
        <w:tc>
          <w:tcPr>
            <w:tcW w:type="dxa" w:w="2050"/>
            <w:vAlign w:val="center"/>
          </w:tcPr>
          <w:p>
            <w:pPr>
              <w:spacing w:before="0" w:after="0" w:line="252" w:lineRule="auto"/>
            </w:pPr>
            <w:r/>
            <w:r>
              <w:rPr>
                <w:rFonts w:ascii="Calibri" w:hAnsi="Calibri" w:eastAsia="Calibri"/>
                <w:b w:val="0"/>
                <w:sz w:val="15"/>
              </w:rPr>
              <w:t>CV, degree certificate, transcript, English proficiency</w:t>
            </w:r>
          </w:p>
        </w:tc>
        <w:tc>
          <w:tcPr>
            <w:tcW w:type="dxa" w:w="660"/>
            <w:vAlign w:val="center"/>
          </w:tcPr>
          <w:p>
            <w:pPr>
              <w:spacing w:before="0" w:after="0" w:line="252" w:lineRule="auto"/>
            </w:pPr>
            <w:r/>
            <w:r>
              <w:rPr>
                <w:rFonts w:ascii="Calibri" w:hAnsi="Calibri" w:eastAsia="Calibri"/>
                <w:b w:val="0"/>
                <w:sz w:val="15"/>
              </w:rPr>
              <w:t>Medium</w:t>
            </w:r>
          </w:p>
        </w:tc>
      </w:tr>
      <w:tr>
        <w:tc>
          <w:tcPr>
            <w:tcW w:type="dxa" w:w="1800"/>
            <w:vAlign w:val="center"/>
          </w:tcPr>
          <w:p>
            <w:pPr>
              <w:spacing w:before="0" w:after="0" w:line="252" w:lineRule="auto"/>
            </w:pPr>
            <w:r/>
            <w:r>
              <w:rPr>
                <w:rFonts w:ascii="Calibri" w:hAnsi="Calibri" w:eastAsia="Calibri"/>
                <w:b/>
                <w:sz w:val="15"/>
              </w:rPr>
              <w:t>Business Communications</w:t>
            </w:r>
          </w:p>
        </w:tc>
        <w:tc>
          <w:tcPr>
            <w:tcW w:type="dxa" w:w="600"/>
            <w:vAlign w:val="center"/>
          </w:tcPr>
          <w:p>
            <w:pPr>
              <w:spacing w:before="0" w:after="0" w:line="252" w:lineRule="auto"/>
            </w:pPr>
            <w:r/>
            <w:r>
              <w:rPr>
                <w:rFonts w:ascii="Calibri" w:hAnsi="Calibri" w:eastAsia="Calibri"/>
                <w:b w:val="0"/>
                <w:sz w:val="15"/>
              </w:rPr>
              <w:t>42</w:t>
            </w:r>
          </w:p>
        </w:tc>
        <w:tc>
          <w:tcPr>
            <w:tcW w:type="dxa" w:w="1650"/>
            <w:vAlign w:val="center"/>
          </w:tcPr>
          <w:p>
            <w:pPr>
              <w:spacing w:before="0" w:after="0" w:line="252" w:lineRule="auto"/>
            </w:pPr>
            <w:r/>
            <w:r>
              <w:rPr>
                <w:rFonts w:ascii="Calibri" w:hAnsi="Calibri" w:eastAsia="Calibri"/>
                <w:b w:val="0"/>
                <w:sz w:val="15"/>
              </w:rPr>
              <w:t>Business communication</w:t>
            </w:r>
          </w:p>
        </w:tc>
        <w:tc>
          <w:tcPr>
            <w:tcW w:type="dxa" w:w="1450"/>
            <w:vAlign w:val="center"/>
          </w:tcPr>
          <w:p>
            <w:pPr>
              <w:spacing w:before="0" w:after="0" w:line="252" w:lineRule="auto"/>
            </w:pPr>
            <w:r/>
            <w:r>
              <w:rPr>
                <w:rFonts w:ascii="Calibri" w:hAnsi="Calibri" w:eastAsia="Calibri"/>
                <w:b w:val="0"/>
                <w:sz w:val="15"/>
              </w:rPr>
              <w:t>Management / language faculty</w:t>
            </w:r>
          </w:p>
        </w:tc>
        <w:tc>
          <w:tcPr>
            <w:tcW w:type="dxa" w:w="1150"/>
            <w:vAlign w:val="center"/>
          </w:tcPr>
          <w:p>
            <w:pPr>
              <w:spacing w:before="0" w:after="0" w:line="252" w:lineRule="auto"/>
            </w:pPr>
            <w:r/>
            <w:r>
              <w:rPr>
                <w:rFonts w:ascii="Calibri" w:hAnsi="Calibri" w:eastAsia="Calibri"/>
                <w:b w:val="0"/>
                <w:sz w:val="15"/>
              </w:rPr>
              <w:t>High required</w:t>
            </w:r>
          </w:p>
        </w:tc>
        <w:tc>
          <w:tcPr>
            <w:tcW w:type="dxa" w:w="2050"/>
            <w:vAlign w:val="center"/>
          </w:tcPr>
          <w:p>
            <w:pPr>
              <w:spacing w:before="0" w:after="0" w:line="252" w:lineRule="auto"/>
            </w:pPr>
            <w:r/>
            <w:r>
              <w:rPr>
                <w:rFonts w:ascii="Calibri" w:hAnsi="Calibri" w:eastAsia="Calibri"/>
                <w:b w:val="0"/>
                <w:sz w:val="15"/>
              </w:rPr>
              <w:t>Profile form and teaching experience</w:t>
            </w:r>
          </w:p>
        </w:tc>
        <w:tc>
          <w:tcPr>
            <w:tcW w:type="dxa" w:w="660"/>
            <w:vAlign w:val="center"/>
          </w:tcPr>
          <w:p>
            <w:pPr>
              <w:spacing w:before="0" w:after="0" w:line="252" w:lineRule="auto"/>
            </w:pPr>
            <w:r/>
            <w:r>
              <w:rPr>
                <w:rFonts w:ascii="Calibri" w:hAnsi="Calibri" w:eastAsia="Calibri"/>
                <w:b w:val="0"/>
                <w:sz w:val="15"/>
              </w:rPr>
              <w:t>Medium</w:t>
            </w:r>
          </w:p>
        </w:tc>
      </w:tr>
      <w:tr>
        <w:tc>
          <w:tcPr>
            <w:tcW w:type="dxa" w:w="1800"/>
            <w:vAlign w:val="center"/>
          </w:tcPr>
          <w:p>
            <w:pPr>
              <w:spacing w:before="0" w:after="0" w:line="252" w:lineRule="auto"/>
            </w:pPr>
            <w:r/>
            <w:r>
              <w:rPr>
                <w:rFonts w:ascii="Calibri" w:hAnsi="Calibri" w:eastAsia="Calibri"/>
                <w:b/>
                <w:sz w:val="15"/>
              </w:rPr>
              <w:t>Business Mathematics</w:t>
            </w:r>
          </w:p>
        </w:tc>
        <w:tc>
          <w:tcPr>
            <w:tcW w:type="dxa" w:w="600"/>
            <w:vAlign w:val="center"/>
          </w:tcPr>
          <w:p>
            <w:pPr>
              <w:spacing w:before="0" w:after="0" w:line="252" w:lineRule="auto"/>
            </w:pPr>
            <w:r/>
            <w:r>
              <w:rPr>
                <w:rFonts w:ascii="Calibri" w:hAnsi="Calibri" w:eastAsia="Calibri"/>
                <w:b w:val="0"/>
                <w:sz w:val="15"/>
              </w:rPr>
              <w:t>42</w:t>
            </w:r>
          </w:p>
        </w:tc>
        <w:tc>
          <w:tcPr>
            <w:tcW w:type="dxa" w:w="1650"/>
            <w:vAlign w:val="center"/>
          </w:tcPr>
          <w:p>
            <w:pPr>
              <w:spacing w:before="0" w:after="0" w:line="252" w:lineRule="auto"/>
            </w:pPr>
            <w:r/>
            <w:r>
              <w:rPr>
                <w:rFonts w:ascii="Calibri" w:hAnsi="Calibri" w:eastAsia="Calibri"/>
                <w:b w:val="0"/>
                <w:sz w:val="15"/>
              </w:rPr>
              <w:t>Business mathematics</w:t>
            </w:r>
          </w:p>
        </w:tc>
        <w:tc>
          <w:tcPr>
            <w:tcW w:type="dxa" w:w="1450"/>
            <w:vAlign w:val="center"/>
          </w:tcPr>
          <w:p>
            <w:pPr>
              <w:spacing w:before="0" w:after="0" w:line="252" w:lineRule="auto"/>
            </w:pPr>
            <w:r/>
            <w:r>
              <w:rPr>
                <w:rFonts w:ascii="Calibri" w:hAnsi="Calibri" w:eastAsia="Calibri"/>
                <w:b w:val="0"/>
                <w:sz w:val="15"/>
              </w:rPr>
              <w:t>Management / quantitative methods</w:t>
            </w:r>
          </w:p>
        </w:tc>
        <w:tc>
          <w:tcPr>
            <w:tcW w:type="dxa" w:w="1150"/>
            <w:vAlign w:val="center"/>
          </w:tcPr>
          <w:p>
            <w:pPr>
              <w:spacing w:before="0" w:after="0" w:line="252" w:lineRule="auto"/>
            </w:pPr>
            <w:r/>
            <w:r>
              <w:rPr>
                <w:rFonts w:ascii="Calibri" w:hAnsi="Calibri" w:eastAsia="Calibri"/>
                <w:b w:val="0"/>
                <w:sz w:val="15"/>
              </w:rPr>
              <w:t>Medium-high</w:t>
            </w:r>
          </w:p>
        </w:tc>
        <w:tc>
          <w:tcPr>
            <w:tcW w:type="dxa" w:w="2050"/>
            <w:vAlign w:val="center"/>
          </w:tcPr>
          <w:p>
            <w:pPr>
              <w:spacing w:before="0" w:after="0" w:line="252" w:lineRule="auto"/>
            </w:pPr>
            <w:r/>
            <w:r>
              <w:rPr>
                <w:rFonts w:ascii="Calibri" w:hAnsi="Calibri" w:eastAsia="Calibri"/>
                <w:b w:val="0"/>
                <w:sz w:val="15"/>
              </w:rPr>
              <w:t>Qualification and transcript</w:t>
            </w:r>
          </w:p>
        </w:tc>
        <w:tc>
          <w:tcPr>
            <w:tcW w:type="dxa" w:w="660"/>
            <w:vAlign w:val="center"/>
          </w:tcPr>
          <w:p>
            <w:pPr>
              <w:spacing w:before="0" w:after="0" w:line="252" w:lineRule="auto"/>
            </w:pPr>
            <w:r/>
            <w:r>
              <w:rPr>
                <w:rFonts w:ascii="Calibri" w:hAnsi="Calibri" w:eastAsia="Calibri"/>
                <w:b w:val="0"/>
                <w:sz w:val="15"/>
              </w:rPr>
              <w:t>Medium</w:t>
            </w:r>
          </w:p>
        </w:tc>
      </w:tr>
      <w:tr>
        <w:tc>
          <w:tcPr>
            <w:tcW w:type="dxa" w:w="1800"/>
            <w:vAlign w:val="center"/>
          </w:tcPr>
          <w:p>
            <w:pPr>
              <w:spacing w:before="0" w:after="0" w:line="252" w:lineRule="auto"/>
            </w:pPr>
            <w:r/>
            <w:r>
              <w:rPr>
                <w:rFonts w:ascii="Calibri" w:hAnsi="Calibri" w:eastAsia="Calibri"/>
                <w:b/>
                <w:sz w:val="15"/>
              </w:rPr>
              <w:t>Microeconomics</w:t>
            </w:r>
          </w:p>
        </w:tc>
        <w:tc>
          <w:tcPr>
            <w:tcW w:type="dxa" w:w="600"/>
            <w:vAlign w:val="center"/>
          </w:tcPr>
          <w:p>
            <w:pPr>
              <w:spacing w:before="0" w:after="0" w:line="252" w:lineRule="auto"/>
            </w:pPr>
            <w:r/>
            <w:r>
              <w:rPr>
                <w:rFonts w:ascii="Calibri" w:hAnsi="Calibri" w:eastAsia="Calibri"/>
                <w:b w:val="0"/>
                <w:sz w:val="15"/>
              </w:rPr>
              <w:t>42</w:t>
            </w:r>
          </w:p>
        </w:tc>
        <w:tc>
          <w:tcPr>
            <w:tcW w:type="dxa" w:w="1650"/>
            <w:vAlign w:val="center"/>
          </w:tcPr>
          <w:p>
            <w:pPr>
              <w:spacing w:before="0" w:after="0" w:line="252" w:lineRule="auto"/>
            </w:pPr>
            <w:r/>
            <w:r>
              <w:rPr>
                <w:rFonts w:ascii="Calibri" w:hAnsi="Calibri" w:eastAsia="Calibri"/>
                <w:b w:val="0"/>
                <w:sz w:val="15"/>
              </w:rPr>
              <w:t>Economics</w:t>
            </w:r>
          </w:p>
        </w:tc>
        <w:tc>
          <w:tcPr>
            <w:tcW w:type="dxa" w:w="1450"/>
            <w:vAlign w:val="center"/>
          </w:tcPr>
          <w:p>
            <w:pPr>
              <w:spacing w:before="0" w:after="0" w:line="252" w:lineRule="auto"/>
            </w:pPr>
            <w:r/>
            <w:r>
              <w:rPr>
                <w:rFonts w:ascii="Calibri" w:hAnsi="Calibri" w:eastAsia="Calibri"/>
                <w:b w:val="0"/>
                <w:sz w:val="15"/>
              </w:rPr>
              <w:t>Economics / management faculty</w:t>
            </w:r>
          </w:p>
        </w:tc>
        <w:tc>
          <w:tcPr>
            <w:tcW w:type="dxa" w:w="1150"/>
            <w:vAlign w:val="center"/>
          </w:tcPr>
          <w:p>
            <w:pPr>
              <w:spacing w:before="0" w:after="0" w:line="252" w:lineRule="auto"/>
            </w:pPr>
            <w:r/>
            <w:r>
              <w:rPr>
                <w:rFonts w:ascii="Calibri" w:hAnsi="Calibri" w:eastAsia="Calibri"/>
                <w:b w:val="0"/>
                <w:sz w:val="15"/>
              </w:rPr>
              <w:t>Medium-high</w:t>
            </w:r>
          </w:p>
        </w:tc>
        <w:tc>
          <w:tcPr>
            <w:tcW w:type="dxa" w:w="2050"/>
            <w:vAlign w:val="center"/>
          </w:tcPr>
          <w:p>
            <w:pPr>
              <w:spacing w:before="0" w:after="0" w:line="252" w:lineRule="auto"/>
            </w:pPr>
            <w:r/>
            <w:r>
              <w:rPr>
                <w:rFonts w:ascii="Calibri" w:hAnsi="Calibri" w:eastAsia="Calibri"/>
                <w:b w:val="0"/>
                <w:sz w:val="15"/>
              </w:rPr>
              <w:t>Relevant academic qualification</w:t>
            </w:r>
          </w:p>
        </w:tc>
        <w:tc>
          <w:tcPr>
            <w:tcW w:type="dxa" w:w="660"/>
            <w:vAlign w:val="center"/>
          </w:tcPr>
          <w:p>
            <w:pPr>
              <w:spacing w:before="0" w:after="0" w:line="252" w:lineRule="auto"/>
            </w:pPr>
            <w:r/>
            <w:r>
              <w:rPr>
                <w:rFonts w:ascii="Calibri" w:hAnsi="Calibri" w:eastAsia="Calibri"/>
                <w:b w:val="0"/>
                <w:sz w:val="15"/>
              </w:rPr>
              <w:t>Medium</w:t>
            </w:r>
          </w:p>
        </w:tc>
      </w:tr>
      <w:tr>
        <w:tc>
          <w:tcPr>
            <w:tcW w:type="dxa" w:w="1800"/>
            <w:vAlign w:val="center"/>
          </w:tcPr>
          <w:p>
            <w:pPr>
              <w:spacing w:before="0" w:after="0" w:line="252" w:lineRule="auto"/>
            </w:pPr>
            <w:r/>
            <w:r>
              <w:rPr>
                <w:rFonts w:ascii="Calibri" w:hAnsi="Calibri" w:eastAsia="Calibri"/>
                <w:b/>
                <w:sz w:val="15"/>
              </w:rPr>
              <w:t>Business Statistics</w:t>
            </w:r>
          </w:p>
        </w:tc>
        <w:tc>
          <w:tcPr>
            <w:tcW w:type="dxa" w:w="600"/>
            <w:vAlign w:val="center"/>
          </w:tcPr>
          <w:p>
            <w:pPr>
              <w:spacing w:before="0" w:after="0" w:line="252" w:lineRule="auto"/>
            </w:pPr>
            <w:r/>
            <w:r>
              <w:rPr>
                <w:rFonts w:ascii="Calibri" w:hAnsi="Calibri" w:eastAsia="Calibri"/>
                <w:b w:val="0"/>
                <w:sz w:val="15"/>
              </w:rPr>
              <w:t>42</w:t>
            </w:r>
          </w:p>
        </w:tc>
        <w:tc>
          <w:tcPr>
            <w:tcW w:type="dxa" w:w="1650"/>
            <w:vAlign w:val="center"/>
          </w:tcPr>
          <w:p>
            <w:pPr>
              <w:spacing w:before="0" w:after="0" w:line="252" w:lineRule="auto"/>
            </w:pPr>
            <w:r/>
            <w:r>
              <w:rPr>
                <w:rFonts w:ascii="Calibri" w:hAnsi="Calibri" w:eastAsia="Calibri"/>
                <w:b w:val="0"/>
                <w:sz w:val="15"/>
              </w:rPr>
              <w:t>Statistics / data analysis</w:t>
            </w:r>
          </w:p>
        </w:tc>
        <w:tc>
          <w:tcPr>
            <w:tcW w:type="dxa" w:w="1450"/>
            <w:vAlign w:val="center"/>
          </w:tcPr>
          <w:p>
            <w:pPr>
              <w:spacing w:before="0" w:after="0" w:line="252" w:lineRule="auto"/>
            </w:pPr>
            <w:r/>
            <w:r>
              <w:rPr>
                <w:rFonts w:ascii="Calibri" w:hAnsi="Calibri" w:eastAsia="Calibri"/>
                <w:b w:val="0"/>
                <w:sz w:val="15"/>
              </w:rPr>
              <w:t>IM / management analytics faculty</w:t>
            </w:r>
          </w:p>
        </w:tc>
        <w:tc>
          <w:tcPr>
            <w:tcW w:type="dxa" w:w="1150"/>
            <w:vAlign w:val="center"/>
          </w:tcPr>
          <w:p>
            <w:pPr>
              <w:spacing w:before="0" w:after="0" w:line="252" w:lineRule="auto"/>
            </w:pPr>
            <w:r/>
            <w:r>
              <w:rPr>
                <w:rFonts w:ascii="Calibri" w:hAnsi="Calibri" w:eastAsia="Calibri"/>
                <w:b w:val="0"/>
                <w:sz w:val="15"/>
              </w:rPr>
              <w:t>Medium-high</w:t>
            </w:r>
          </w:p>
        </w:tc>
        <w:tc>
          <w:tcPr>
            <w:tcW w:type="dxa" w:w="2050"/>
            <w:vAlign w:val="center"/>
          </w:tcPr>
          <w:p>
            <w:pPr>
              <w:spacing w:before="0" w:after="0" w:line="252" w:lineRule="auto"/>
            </w:pPr>
            <w:r/>
            <w:r>
              <w:rPr>
                <w:rFonts w:ascii="Calibri" w:hAnsi="Calibri" w:eastAsia="Calibri"/>
                <w:b w:val="0"/>
                <w:sz w:val="15"/>
              </w:rPr>
              <w:t>Quantitative teaching evidence</w:t>
            </w:r>
          </w:p>
        </w:tc>
        <w:tc>
          <w:tcPr>
            <w:tcW w:type="dxa" w:w="660"/>
            <w:vAlign w:val="center"/>
          </w:tcPr>
          <w:p>
            <w:pPr>
              <w:spacing w:before="0" w:after="0" w:line="252" w:lineRule="auto"/>
            </w:pPr>
            <w:r/>
            <w:r>
              <w:rPr>
                <w:rFonts w:ascii="Calibri" w:hAnsi="Calibri" w:eastAsia="Calibri"/>
                <w:b w:val="0"/>
                <w:sz w:val="15"/>
              </w:rPr>
              <w:t>Low-medium</w:t>
            </w:r>
          </w:p>
        </w:tc>
      </w:tr>
      <w:tr>
        <w:tc>
          <w:tcPr>
            <w:tcW w:type="dxa" w:w="1800"/>
            <w:vAlign w:val="center"/>
          </w:tcPr>
          <w:p>
            <w:pPr>
              <w:spacing w:before="0" w:after="0" w:line="252" w:lineRule="auto"/>
            </w:pPr>
            <w:r/>
            <w:r>
              <w:rPr>
                <w:rFonts w:ascii="Calibri" w:hAnsi="Calibri" w:eastAsia="Calibri"/>
                <w:b/>
                <w:sz w:val="15"/>
              </w:rPr>
              <w:t>Information Systems for Business</w:t>
            </w:r>
          </w:p>
        </w:tc>
        <w:tc>
          <w:tcPr>
            <w:tcW w:type="dxa" w:w="600"/>
            <w:vAlign w:val="center"/>
          </w:tcPr>
          <w:p>
            <w:pPr>
              <w:spacing w:before="0" w:after="0" w:line="252" w:lineRule="auto"/>
            </w:pPr>
            <w:r/>
            <w:r>
              <w:rPr>
                <w:rFonts w:ascii="Calibri" w:hAnsi="Calibri" w:eastAsia="Calibri"/>
                <w:b w:val="0"/>
                <w:sz w:val="15"/>
              </w:rPr>
              <w:t>42</w:t>
            </w:r>
          </w:p>
        </w:tc>
        <w:tc>
          <w:tcPr>
            <w:tcW w:type="dxa" w:w="1650"/>
            <w:vAlign w:val="center"/>
          </w:tcPr>
          <w:p>
            <w:pPr>
              <w:spacing w:before="0" w:after="0" w:line="252" w:lineRule="auto"/>
            </w:pPr>
            <w:r/>
            <w:r>
              <w:rPr>
                <w:rFonts w:ascii="Calibri" w:hAnsi="Calibri" w:eastAsia="Calibri"/>
                <w:b w:val="0"/>
                <w:sz w:val="15"/>
              </w:rPr>
              <w:t>Information systems</w:t>
            </w:r>
          </w:p>
        </w:tc>
        <w:tc>
          <w:tcPr>
            <w:tcW w:type="dxa" w:w="1450"/>
            <w:vAlign w:val="center"/>
          </w:tcPr>
          <w:p>
            <w:pPr>
              <w:spacing w:before="0" w:after="0" w:line="252" w:lineRule="auto"/>
            </w:pPr>
            <w:r/>
            <w:r>
              <w:rPr>
                <w:rFonts w:ascii="Calibri" w:hAnsi="Calibri" w:eastAsia="Calibri"/>
                <w:b w:val="0"/>
                <w:sz w:val="15"/>
              </w:rPr>
              <w:t>Information Management</w:t>
            </w:r>
          </w:p>
        </w:tc>
        <w:tc>
          <w:tcPr>
            <w:tcW w:type="dxa" w:w="1150"/>
            <w:vAlign w:val="center"/>
          </w:tcPr>
          <w:p>
            <w:pPr>
              <w:spacing w:before="0" w:after="0" w:line="252" w:lineRule="auto"/>
            </w:pPr>
            <w:r/>
            <w:r>
              <w:rPr>
                <w:rFonts w:ascii="Calibri" w:hAnsi="Calibri" w:eastAsia="Calibri"/>
                <w:b w:val="0"/>
                <w:sz w:val="15"/>
              </w:rPr>
              <w:t>Medium-high</w:t>
            </w:r>
          </w:p>
        </w:tc>
        <w:tc>
          <w:tcPr>
            <w:tcW w:type="dxa" w:w="2050"/>
            <w:vAlign w:val="center"/>
          </w:tcPr>
          <w:p>
            <w:pPr>
              <w:spacing w:before="0" w:after="0" w:line="252" w:lineRule="auto"/>
            </w:pPr>
            <w:r/>
            <w:r>
              <w:rPr>
                <w:rFonts w:ascii="Calibri" w:hAnsi="Calibri" w:eastAsia="Calibri"/>
                <w:b w:val="0"/>
                <w:sz w:val="15"/>
              </w:rPr>
              <w:t>IS qualification and English teaching readiness</w:t>
            </w:r>
          </w:p>
        </w:tc>
        <w:tc>
          <w:tcPr>
            <w:tcW w:type="dxa" w:w="660"/>
            <w:vAlign w:val="center"/>
          </w:tcPr>
          <w:p>
            <w:pPr>
              <w:spacing w:before="0" w:after="0" w:line="252" w:lineRule="auto"/>
            </w:pPr>
            <w:r/>
            <w:r>
              <w:rPr>
                <w:rFonts w:ascii="Calibri" w:hAnsi="Calibri" w:eastAsia="Calibri"/>
                <w:b w:val="0"/>
                <w:sz w:val="15"/>
              </w:rPr>
              <w:t>Low</w:t>
            </w:r>
          </w:p>
        </w:tc>
      </w:tr>
      <w:tr>
        <w:tc>
          <w:tcPr>
            <w:tcW w:type="dxa" w:w="1800"/>
            <w:vAlign w:val="center"/>
          </w:tcPr>
          <w:p>
            <w:pPr>
              <w:spacing w:before="0" w:after="0" w:line="252" w:lineRule="auto"/>
            </w:pPr>
            <w:r/>
            <w:r>
              <w:rPr>
                <w:rFonts w:ascii="Calibri" w:hAnsi="Calibri" w:eastAsia="Calibri"/>
                <w:b/>
                <w:sz w:val="15"/>
              </w:rPr>
              <w:t>Financial Accounting</w:t>
            </w:r>
          </w:p>
        </w:tc>
        <w:tc>
          <w:tcPr>
            <w:tcW w:type="dxa" w:w="600"/>
            <w:vAlign w:val="center"/>
          </w:tcPr>
          <w:p>
            <w:pPr>
              <w:spacing w:before="0" w:after="0" w:line="252" w:lineRule="auto"/>
            </w:pPr>
            <w:r/>
            <w:r>
              <w:rPr>
                <w:rFonts w:ascii="Calibri" w:hAnsi="Calibri" w:eastAsia="Calibri"/>
                <w:b w:val="0"/>
                <w:sz w:val="15"/>
              </w:rPr>
              <w:t>42</w:t>
            </w:r>
          </w:p>
        </w:tc>
        <w:tc>
          <w:tcPr>
            <w:tcW w:type="dxa" w:w="1650"/>
            <w:vAlign w:val="center"/>
          </w:tcPr>
          <w:p>
            <w:pPr>
              <w:spacing w:before="0" w:after="0" w:line="252" w:lineRule="auto"/>
            </w:pPr>
            <w:r/>
            <w:r>
              <w:rPr>
                <w:rFonts w:ascii="Calibri" w:hAnsi="Calibri" w:eastAsia="Calibri"/>
                <w:b w:val="0"/>
                <w:sz w:val="15"/>
              </w:rPr>
              <w:t>Accounting</w:t>
            </w:r>
          </w:p>
        </w:tc>
        <w:tc>
          <w:tcPr>
            <w:tcW w:type="dxa" w:w="1450"/>
            <w:vAlign w:val="center"/>
          </w:tcPr>
          <w:p>
            <w:pPr>
              <w:spacing w:before="0" w:after="0" w:line="252" w:lineRule="auto"/>
            </w:pPr>
            <w:r/>
            <w:r>
              <w:rPr>
                <w:rFonts w:ascii="Calibri" w:hAnsi="Calibri" w:eastAsia="Calibri"/>
                <w:b w:val="0"/>
                <w:sz w:val="15"/>
              </w:rPr>
              <w:t>Accounting faculty</w:t>
            </w:r>
          </w:p>
        </w:tc>
        <w:tc>
          <w:tcPr>
            <w:tcW w:type="dxa" w:w="1150"/>
            <w:vAlign w:val="center"/>
          </w:tcPr>
          <w:p>
            <w:pPr>
              <w:spacing w:before="0" w:after="0" w:line="252" w:lineRule="auto"/>
            </w:pPr>
            <w:r/>
            <w:r>
              <w:rPr>
                <w:rFonts w:ascii="Calibri" w:hAnsi="Calibri" w:eastAsia="Calibri"/>
                <w:b w:val="0"/>
                <w:sz w:val="15"/>
              </w:rPr>
              <w:t>Medium-high</w:t>
            </w:r>
          </w:p>
        </w:tc>
        <w:tc>
          <w:tcPr>
            <w:tcW w:type="dxa" w:w="2050"/>
            <w:vAlign w:val="center"/>
          </w:tcPr>
          <w:p>
            <w:pPr>
              <w:spacing w:before="0" w:after="0" w:line="252" w:lineRule="auto"/>
            </w:pPr>
            <w:r/>
            <w:r>
              <w:rPr>
                <w:rFonts w:ascii="Calibri" w:hAnsi="Calibri" w:eastAsia="Calibri"/>
                <w:b w:val="0"/>
                <w:sz w:val="15"/>
              </w:rPr>
              <w:t>Accounting qualification and teaching profile</w:t>
            </w:r>
          </w:p>
        </w:tc>
        <w:tc>
          <w:tcPr>
            <w:tcW w:type="dxa" w:w="660"/>
            <w:vAlign w:val="center"/>
          </w:tcPr>
          <w:p>
            <w:pPr>
              <w:spacing w:before="0" w:after="0" w:line="252" w:lineRule="auto"/>
            </w:pPr>
            <w:r/>
            <w:r>
              <w:rPr>
                <w:rFonts w:ascii="Calibri" w:hAnsi="Calibri" w:eastAsia="Calibri"/>
                <w:b w:val="0"/>
                <w:sz w:val="15"/>
              </w:rPr>
              <w:t>Medium-high</w:t>
            </w:r>
          </w:p>
        </w:tc>
      </w:tr>
      <w:tr>
        <w:tc>
          <w:tcPr>
            <w:tcW w:type="dxa" w:w="1800"/>
            <w:vAlign w:val="center"/>
          </w:tcPr>
          <w:p>
            <w:pPr>
              <w:spacing w:before="0" w:after="0" w:line="252" w:lineRule="auto"/>
            </w:pPr>
            <w:r/>
            <w:r>
              <w:rPr>
                <w:rFonts w:ascii="Calibri" w:hAnsi="Calibri" w:eastAsia="Calibri"/>
                <w:b/>
                <w:sz w:val="15"/>
              </w:rPr>
              <w:t>Managerial Accounting</w:t>
            </w:r>
          </w:p>
        </w:tc>
        <w:tc>
          <w:tcPr>
            <w:tcW w:type="dxa" w:w="600"/>
            <w:vAlign w:val="center"/>
          </w:tcPr>
          <w:p>
            <w:pPr>
              <w:spacing w:before="0" w:after="0" w:line="252" w:lineRule="auto"/>
            </w:pPr>
            <w:r/>
            <w:r>
              <w:rPr>
                <w:rFonts w:ascii="Calibri" w:hAnsi="Calibri" w:eastAsia="Calibri"/>
                <w:b w:val="0"/>
                <w:sz w:val="15"/>
              </w:rPr>
              <w:t>42</w:t>
            </w:r>
          </w:p>
        </w:tc>
        <w:tc>
          <w:tcPr>
            <w:tcW w:type="dxa" w:w="1650"/>
            <w:vAlign w:val="center"/>
          </w:tcPr>
          <w:p>
            <w:pPr>
              <w:spacing w:before="0" w:after="0" w:line="252" w:lineRule="auto"/>
            </w:pPr>
            <w:r/>
            <w:r>
              <w:rPr>
                <w:rFonts w:ascii="Calibri" w:hAnsi="Calibri" w:eastAsia="Calibri"/>
                <w:b w:val="0"/>
                <w:sz w:val="15"/>
              </w:rPr>
              <w:t>Managerial accounting</w:t>
            </w:r>
          </w:p>
        </w:tc>
        <w:tc>
          <w:tcPr>
            <w:tcW w:type="dxa" w:w="1450"/>
            <w:vAlign w:val="center"/>
          </w:tcPr>
          <w:p>
            <w:pPr>
              <w:spacing w:before="0" w:after="0" w:line="252" w:lineRule="auto"/>
            </w:pPr>
            <w:r/>
            <w:r>
              <w:rPr>
                <w:rFonts w:ascii="Calibri" w:hAnsi="Calibri" w:eastAsia="Calibri"/>
                <w:b w:val="0"/>
                <w:sz w:val="15"/>
              </w:rPr>
              <w:t>Accounting faculty</w:t>
            </w:r>
          </w:p>
        </w:tc>
        <w:tc>
          <w:tcPr>
            <w:tcW w:type="dxa" w:w="1150"/>
            <w:vAlign w:val="center"/>
          </w:tcPr>
          <w:p>
            <w:pPr>
              <w:spacing w:before="0" w:after="0" w:line="252" w:lineRule="auto"/>
            </w:pPr>
            <w:r/>
            <w:r>
              <w:rPr>
                <w:rFonts w:ascii="Calibri" w:hAnsi="Calibri" w:eastAsia="Calibri"/>
                <w:b w:val="0"/>
                <w:sz w:val="15"/>
              </w:rPr>
              <w:t>Medium-high</w:t>
            </w:r>
          </w:p>
        </w:tc>
        <w:tc>
          <w:tcPr>
            <w:tcW w:type="dxa" w:w="2050"/>
            <w:vAlign w:val="center"/>
          </w:tcPr>
          <w:p>
            <w:pPr>
              <w:spacing w:before="0" w:after="0" w:line="252" w:lineRule="auto"/>
            </w:pPr>
            <w:r/>
            <w:r>
              <w:rPr>
                <w:rFonts w:ascii="Calibri" w:hAnsi="Calibri" w:eastAsia="Calibri"/>
                <w:b w:val="0"/>
                <w:sz w:val="15"/>
              </w:rPr>
              <w:t>Qualification plus module match</w:t>
            </w:r>
          </w:p>
        </w:tc>
        <w:tc>
          <w:tcPr>
            <w:tcW w:type="dxa" w:w="660"/>
            <w:vAlign w:val="center"/>
          </w:tcPr>
          <w:p>
            <w:pPr>
              <w:spacing w:before="0" w:after="0" w:line="252" w:lineRule="auto"/>
            </w:pPr>
            <w:r/>
            <w:r>
              <w:rPr>
                <w:rFonts w:ascii="Calibri" w:hAnsi="Calibri" w:eastAsia="Calibri"/>
                <w:b w:val="0"/>
                <w:sz w:val="15"/>
              </w:rPr>
              <w:t>Medium-high</w:t>
            </w:r>
          </w:p>
        </w:tc>
      </w:tr>
      <w:tr>
        <w:tc>
          <w:tcPr>
            <w:tcW w:type="dxa" w:w="1800"/>
            <w:vAlign w:val="center"/>
          </w:tcPr>
          <w:p>
            <w:pPr>
              <w:spacing w:before="0" w:after="0" w:line="252" w:lineRule="auto"/>
            </w:pPr>
            <w:r/>
            <w:r>
              <w:rPr>
                <w:rFonts w:ascii="Calibri" w:hAnsi="Calibri" w:eastAsia="Calibri"/>
                <w:b/>
                <w:sz w:val="15"/>
              </w:rPr>
              <w:t>Business Finance</w:t>
            </w:r>
          </w:p>
        </w:tc>
        <w:tc>
          <w:tcPr>
            <w:tcW w:type="dxa" w:w="600"/>
            <w:vAlign w:val="center"/>
          </w:tcPr>
          <w:p>
            <w:pPr>
              <w:spacing w:before="0" w:after="0" w:line="252" w:lineRule="auto"/>
            </w:pPr>
            <w:r/>
            <w:r>
              <w:rPr>
                <w:rFonts w:ascii="Calibri" w:hAnsi="Calibri" w:eastAsia="Calibri"/>
                <w:b w:val="0"/>
                <w:sz w:val="15"/>
              </w:rPr>
              <w:t>42</w:t>
            </w:r>
          </w:p>
        </w:tc>
        <w:tc>
          <w:tcPr>
            <w:tcW w:type="dxa" w:w="1650"/>
            <w:vAlign w:val="center"/>
          </w:tcPr>
          <w:p>
            <w:pPr>
              <w:spacing w:before="0" w:after="0" w:line="252" w:lineRule="auto"/>
            </w:pPr>
            <w:r/>
            <w:r>
              <w:rPr>
                <w:rFonts w:ascii="Calibri" w:hAnsi="Calibri" w:eastAsia="Calibri"/>
                <w:b w:val="0"/>
                <w:sz w:val="15"/>
              </w:rPr>
              <w:t>Finance</w:t>
            </w:r>
          </w:p>
        </w:tc>
        <w:tc>
          <w:tcPr>
            <w:tcW w:type="dxa" w:w="1450"/>
            <w:vAlign w:val="center"/>
          </w:tcPr>
          <w:p>
            <w:pPr>
              <w:spacing w:before="0" w:after="0" w:line="252" w:lineRule="auto"/>
            </w:pPr>
            <w:r/>
            <w:r>
              <w:rPr>
                <w:rFonts w:ascii="Calibri" w:hAnsi="Calibri" w:eastAsia="Calibri"/>
                <w:b w:val="0"/>
                <w:sz w:val="15"/>
              </w:rPr>
              <w:t>Finance faculty</w:t>
            </w:r>
          </w:p>
        </w:tc>
        <w:tc>
          <w:tcPr>
            <w:tcW w:type="dxa" w:w="1150"/>
            <w:vAlign w:val="center"/>
          </w:tcPr>
          <w:p>
            <w:pPr>
              <w:spacing w:before="0" w:after="0" w:line="252" w:lineRule="auto"/>
            </w:pPr>
            <w:r/>
            <w:r>
              <w:rPr>
                <w:rFonts w:ascii="Calibri" w:hAnsi="Calibri" w:eastAsia="Calibri"/>
                <w:b w:val="0"/>
                <w:sz w:val="15"/>
              </w:rPr>
              <w:t>Medium-high</w:t>
            </w:r>
          </w:p>
        </w:tc>
        <w:tc>
          <w:tcPr>
            <w:tcW w:type="dxa" w:w="2050"/>
            <w:vAlign w:val="center"/>
          </w:tcPr>
          <w:p>
            <w:pPr>
              <w:spacing w:before="0" w:after="0" w:line="252" w:lineRule="auto"/>
            </w:pPr>
            <w:r/>
            <w:r>
              <w:rPr>
                <w:rFonts w:ascii="Calibri" w:hAnsi="Calibri" w:eastAsia="Calibri"/>
                <w:b w:val="0"/>
                <w:sz w:val="15"/>
              </w:rPr>
              <w:t>Finance qualification and transcript</w:t>
            </w:r>
          </w:p>
        </w:tc>
        <w:tc>
          <w:tcPr>
            <w:tcW w:type="dxa" w:w="660"/>
            <w:vAlign w:val="center"/>
          </w:tcPr>
          <w:p>
            <w:pPr>
              <w:spacing w:before="0" w:after="0" w:line="252" w:lineRule="auto"/>
            </w:pPr>
            <w:r/>
            <w:r>
              <w:rPr>
                <w:rFonts w:ascii="Calibri" w:hAnsi="Calibri" w:eastAsia="Calibri"/>
                <w:b w:val="0"/>
                <w:sz w:val="15"/>
              </w:rPr>
              <w:t>Medium-high</w:t>
            </w:r>
          </w:p>
        </w:tc>
      </w:tr>
    </w:tbl>
    <w:p>
      <w:pPr>
        <w:spacing w:before="0" w:after="160" w:line="264" w:lineRule="auto"/>
      </w:pPr>
    </w:p>
    <w:p>
      <w:bookmarkStart w:id="7" w:name="toc_scenarios"/>
      <w:pPr>
        <w:pStyle w:val="Heading1"/>
        <w:spacing w:before="320" w:after="160" w:line="264" w:lineRule="auto"/>
      </w:pPr>
      <w:r>
        <w:rPr>
          <w:rFonts w:ascii="Calibri" w:hAnsi="Calibri" w:eastAsia="Calibri"/>
          <w:b/>
          <w:color w:val="2E74B5"/>
          <w:sz w:val="32"/>
        </w:rPr>
        <w:t>Scenario Comparison</w:t>
      </w:r>
      <w:bookmarkEnd w:id="7"/>
    </w:p>
    <w:p>
      <w:pPr>
        <w:pStyle w:val="Heading2"/>
        <w:spacing w:before="240" w:after="120" w:line="264" w:lineRule="auto"/>
      </w:pPr>
      <w:r>
        <w:rPr>
          <w:rFonts w:ascii="Calibri" w:hAnsi="Calibri" w:eastAsia="Calibri"/>
          <w:b/>
          <w:color w:val="2E74B5"/>
          <w:sz w:val="26"/>
        </w:rPr>
        <w:t>A. OTC-only pilot</w:t>
      </w:r>
    </w:p>
    <w:tbl>
      <w:tblPr>
        <w:tblStyle w:val="TableGrid"/>
        <w:tblW w:type="dxa" w:w="9360"/>
        <w:jc w:val="left"/>
        <w:tblLayout w:type="fixed"/>
        <w:tblLook w:firstColumn="1" w:firstRow="1" w:lastColumn="0" w:lastRow="0" w:noHBand="0" w:noVBand="1" w:val="04A0"/>
        <w:tblInd w:w="120" w:type="dxa"/>
      </w:tblPr>
      <w:tblGrid>
        <w:gridCol w:w="2200"/>
        <w:gridCol w:w="2200"/>
        <w:gridCol w:w="3100"/>
        <w:gridCol w:w="1860"/>
      </w:tblGrid>
      <w:tr>
        <w:tc>
          <w:tcPr>
            <w:tcW w:type="dxa" w:w="22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Student value</w:t>
            </w:r>
          </w:p>
        </w:tc>
        <w:tc>
          <w:tcPr>
            <w:tcW w:type="dxa" w:w="22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CGU value</w:t>
            </w:r>
          </w:p>
        </w:tc>
        <w:tc>
          <w:tcPr>
            <w:tcW w:type="dxa" w:w="31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Approvals</w:t>
            </w:r>
          </w:p>
        </w:tc>
        <w:tc>
          <w:tcPr>
            <w:tcW w:type="dxa" w:w="186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Risk</w:t>
            </w:r>
          </w:p>
        </w:tc>
      </w:tr>
      <w:tr>
        <w:tc>
          <w:tcPr>
            <w:tcW w:type="dxa" w:w="2200"/>
            <w:vAlign w:val="center"/>
          </w:tcPr>
          <w:p>
            <w:pPr>
              <w:spacing w:before="0" w:after="0" w:line="252" w:lineRule="auto"/>
            </w:pPr>
            <w:r/>
            <w:r>
              <w:rPr>
                <w:rFonts w:ascii="Calibri" w:hAnsi="Calibri" w:eastAsia="Calibri"/>
                <w:b/>
                <w:sz w:val="17"/>
              </w:rPr>
              <w:t>SIM modules in Taiwan with lower transition pressure</w:t>
            </w:r>
          </w:p>
        </w:tc>
        <w:tc>
          <w:tcPr>
            <w:tcW w:type="dxa" w:w="2200"/>
            <w:vAlign w:val="center"/>
          </w:tcPr>
          <w:p>
            <w:pPr>
              <w:spacing w:before="0" w:after="0" w:line="252" w:lineRule="auto"/>
            </w:pPr>
            <w:r/>
            <w:r>
              <w:rPr>
                <w:rFonts w:ascii="Calibri" w:hAnsi="Calibri" w:eastAsia="Calibri"/>
                <w:b w:val="0"/>
                <w:sz w:val="17"/>
              </w:rPr>
              <w:t>Tests delivery capability before public pathway claims</w:t>
            </w:r>
          </w:p>
        </w:tc>
        <w:tc>
          <w:tcPr>
            <w:tcW w:type="dxa" w:w="3100"/>
            <w:vAlign w:val="center"/>
          </w:tcPr>
          <w:p>
            <w:pPr>
              <w:spacing w:before="0" w:after="0" w:line="252" w:lineRule="auto"/>
            </w:pPr>
            <w:r/>
            <w:r>
              <w:rPr>
                <w:rFonts w:ascii="Calibri" w:hAnsi="Calibri" w:eastAsia="Calibri"/>
                <w:b w:val="0"/>
                <w:sz w:val="17"/>
              </w:rPr>
              <w:t>NDA, SIM OTC application, internal course approval; MOE needed if used for independent recruitment</w:t>
            </w:r>
          </w:p>
        </w:tc>
        <w:tc>
          <w:tcPr>
            <w:tcW w:type="dxa" w:w="1860"/>
            <w:vAlign w:val="center"/>
          </w:tcPr>
          <w:p>
            <w:pPr>
              <w:spacing w:before="0" w:after="0" w:line="252" w:lineRule="auto"/>
            </w:pPr>
            <w:r/>
            <w:r>
              <w:rPr>
                <w:rFonts w:ascii="Calibri" w:hAnsi="Calibri" w:eastAsia="Calibri"/>
                <w:b w:val="0"/>
                <w:sz w:val="17"/>
              </w:rPr>
              <w:t>Best first implementation posture</w:t>
            </w:r>
          </w:p>
        </w:tc>
      </w:tr>
    </w:tbl>
    <w:p>
      <w:pPr>
        <w:spacing w:before="0" w:after="160" w:line="264" w:lineRule="auto"/>
      </w:pPr>
    </w:p>
    <w:p>
      <w:pPr>
        <w:spacing w:before="0" w:after="160" w:line="264" w:lineRule="auto"/>
      </w:pPr>
      <w:r>
        <w:rPr>
          <w:rFonts w:ascii="Calibri" w:hAnsi="Calibri" w:eastAsia="Calibri"/>
          <w:b w:val="0"/>
          <w:color w:val="545D57"/>
          <w:sz w:val="19"/>
        </w:rPr>
        <w:t>Staffing load: 3+ faculty for 6 modules  |  Credit complexity: Moderate if used for CGU recognition  |  Timeline: Earliest after SIM approval, without public pathway recruitment</w:t>
      </w:r>
    </w:p>
    <w:p>
      <w:pPr>
        <w:pStyle w:val="Heading2"/>
        <w:spacing w:before="240" w:after="120" w:line="264" w:lineRule="auto"/>
      </w:pPr>
      <w:r>
        <w:rPr>
          <w:rFonts w:ascii="Calibri" w:hAnsi="Calibri" w:eastAsia="Calibri"/>
          <w:b/>
          <w:color w:val="2E74B5"/>
          <w:sz w:val="26"/>
        </w:rPr>
        <w:t>B. OTC + SIM progression after 6 modules</w:t>
      </w:r>
    </w:p>
    <w:tbl>
      <w:tblPr>
        <w:tblStyle w:val="TableGrid"/>
        <w:tblW w:type="dxa" w:w="9360"/>
        <w:jc w:val="left"/>
        <w:tblLayout w:type="fixed"/>
        <w:tblLook w:firstColumn="1" w:firstRow="1" w:lastColumn="0" w:lastRow="0" w:noHBand="0" w:noVBand="1" w:val="04A0"/>
        <w:tblInd w:w="120" w:type="dxa"/>
      </w:tblPr>
      <w:tblGrid>
        <w:gridCol w:w="2200"/>
        <w:gridCol w:w="2200"/>
        <w:gridCol w:w="3100"/>
        <w:gridCol w:w="1860"/>
      </w:tblGrid>
      <w:tr>
        <w:tc>
          <w:tcPr>
            <w:tcW w:type="dxa" w:w="22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Student value</w:t>
            </w:r>
          </w:p>
        </w:tc>
        <w:tc>
          <w:tcPr>
            <w:tcW w:type="dxa" w:w="22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CGU value</w:t>
            </w:r>
          </w:p>
        </w:tc>
        <w:tc>
          <w:tcPr>
            <w:tcW w:type="dxa" w:w="31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Approvals</w:t>
            </w:r>
          </w:p>
        </w:tc>
        <w:tc>
          <w:tcPr>
            <w:tcW w:type="dxa" w:w="186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Risk</w:t>
            </w:r>
          </w:p>
        </w:tc>
      </w:tr>
      <w:tr>
        <w:tc>
          <w:tcPr>
            <w:tcW w:type="dxa" w:w="2200"/>
            <w:vAlign w:val="center"/>
          </w:tcPr>
          <w:p>
            <w:pPr>
              <w:spacing w:before="0" w:after="0" w:line="252" w:lineRule="auto"/>
            </w:pPr>
            <w:r/>
            <w:r>
              <w:rPr>
                <w:rFonts w:ascii="Calibri" w:hAnsi="Calibri" w:eastAsia="Calibri"/>
                <w:b/>
                <w:sz w:val="17"/>
              </w:rPr>
              <w:t>Early overseas pathway with Taiwan first stage</w:t>
            </w:r>
          </w:p>
        </w:tc>
        <w:tc>
          <w:tcPr>
            <w:tcW w:type="dxa" w:w="2200"/>
            <w:vAlign w:val="center"/>
          </w:tcPr>
          <w:p>
            <w:pPr>
              <w:spacing w:before="0" w:after="0" w:line="252" w:lineRule="auto"/>
            </w:pPr>
            <w:r/>
            <w:r>
              <w:rPr>
                <w:rFonts w:ascii="Calibri" w:hAnsi="Calibri" w:eastAsia="Calibri"/>
                <w:b w:val="0"/>
                <w:sz w:val="17"/>
              </w:rPr>
              <w:t>Recruitment story without full first-year burden</w:t>
            </w:r>
          </w:p>
        </w:tc>
        <w:tc>
          <w:tcPr>
            <w:tcW w:type="dxa" w:w="3100"/>
            <w:vAlign w:val="center"/>
          </w:tcPr>
          <w:p>
            <w:pPr>
              <w:spacing w:before="0" w:after="0" w:line="252" w:lineRule="auto"/>
            </w:pPr>
            <w:r/>
            <w:r>
              <w:rPr>
                <w:rFonts w:ascii="Calibri" w:hAnsi="Calibri" w:eastAsia="Calibri"/>
                <w:b w:val="0"/>
                <w:sz w:val="17"/>
              </w:rPr>
              <w:t>SIM OTC approval plus MOE-approved independent admissions, advising, and student-status rules</w:t>
            </w:r>
          </w:p>
        </w:tc>
        <w:tc>
          <w:tcPr>
            <w:tcW w:type="dxa" w:w="1860"/>
            <w:vAlign w:val="center"/>
          </w:tcPr>
          <w:p>
            <w:pPr>
              <w:spacing w:before="0" w:after="0" w:line="252" w:lineRule="auto"/>
            </w:pPr>
            <w:r/>
            <w:r>
              <w:rPr>
                <w:rFonts w:ascii="Calibri" w:hAnsi="Calibri" w:eastAsia="Calibri"/>
                <w:b w:val="0"/>
                <w:sz w:val="17"/>
              </w:rPr>
              <w:t>MOE rejection, synchronous schedule, credit posting</w:t>
            </w:r>
          </w:p>
        </w:tc>
      </w:tr>
    </w:tbl>
    <w:p>
      <w:pPr>
        <w:spacing w:before="0" w:after="160" w:line="264" w:lineRule="auto"/>
      </w:pPr>
    </w:p>
    <w:p>
      <w:pPr>
        <w:spacing w:before="0" w:after="160" w:line="264" w:lineRule="auto"/>
      </w:pPr>
      <w:r>
        <w:rPr>
          <w:rFonts w:ascii="Calibri" w:hAnsi="Calibri" w:eastAsia="Calibri"/>
          <w:b w:val="0"/>
          <w:color w:val="545D57"/>
          <w:sz w:val="19"/>
        </w:rPr>
        <w:t>Staffing load: At least 3 faculty  |  Credit complexity: High for CGU retention/credit recovery  |  Timeline: Depends on SIM cycle and MOE approval path</w:t>
      </w:r>
    </w:p>
    <w:p>
      <w:pPr>
        <w:pStyle w:val="Heading2"/>
        <w:spacing w:before="240" w:after="120" w:line="264" w:lineRule="auto"/>
      </w:pPr>
      <w:r>
        <w:rPr>
          <w:rFonts w:ascii="Calibri" w:hAnsi="Calibri" w:eastAsia="Calibri"/>
          <w:b/>
          <w:color w:val="2E74B5"/>
          <w:sz w:val="26"/>
        </w:rPr>
        <w:t>C. OTC + SIM progression after 9 modules</w:t>
      </w:r>
    </w:p>
    <w:tbl>
      <w:tblPr>
        <w:tblStyle w:val="TableGrid"/>
        <w:tblW w:type="dxa" w:w="9360"/>
        <w:jc w:val="left"/>
        <w:tblLayout w:type="fixed"/>
        <w:tblLook w:firstColumn="1" w:firstRow="1" w:lastColumn="0" w:lastRow="0" w:noHBand="0" w:noVBand="1" w:val="04A0"/>
        <w:tblInd w:w="120" w:type="dxa"/>
      </w:tblPr>
      <w:tblGrid>
        <w:gridCol w:w="2200"/>
        <w:gridCol w:w="2200"/>
        <w:gridCol w:w="3100"/>
        <w:gridCol w:w="1860"/>
      </w:tblGrid>
      <w:tr>
        <w:tc>
          <w:tcPr>
            <w:tcW w:type="dxa" w:w="22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Student value</w:t>
            </w:r>
          </w:p>
        </w:tc>
        <w:tc>
          <w:tcPr>
            <w:tcW w:type="dxa" w:w="22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CGU value</w:t>
            </w:r>
          </w:p>
        </w:tc>
        <w:tc>
          <w:tcPr>
            <w:tcW w:type="dxa" w:w="31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Approvals</w:t>
            </w:r>
          </w:p>
        </w:tc>
        <w:tc>
          <w:tcPr>
            <w:tcW w:type="dxa" w:w="186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Risk</w:t>
            </w:r>
          </w:p>
        </w:tc>
      </w:tr>
      <w:tr>
        <w:tc>
          <w:tcPr>
            <w:tcW w:type="dxa" w:w="2200"/>
            <w:vAlign w:val="center"/>
          </w:tcPr>
          <w:p>
            <w:pPr>
              <w:spacing w:before="0" w:after="0" w:line="252" w:lineRule="auto"/>
            </w:pPr>
            <w:r/>
            <w:r>
              <w:rPr>
                <w:rFonts w:ascii="Calibri" w:hAnsi="Calibri" w:eastAsia="Calibri"/>
                <w:b/>
                <w:sz w:val="17"/>
              </w:rPr>
              <w:t>More local preparation before Singapore move</w:t>
            </w:r>
          </w:p>
        </w:tc>
        <w:tc>
          <w:tcPr>
            <w:tcW w:type="dxa" w:w="2200"/>
            <w:vAlign w:val="center"/>
          </w:tcPr>
          <w:p>
            <w:pPr>
              <w:spacing w:before="0" w:after="0" w:line="252" w:lineRule="auto"/>
            </w:pPr>
            <w:r/>
            <w:r>
              <w:rPr>
                <w:rFonts w:ascii="Calibri" w:hAnsi="Calibri" w:eastAsia="Calibri"/>
                <w:b w:val="0"/>
                <w:sz w:val="17"/>
              </w:rPr>
              <w:t>More CGU engagement and more recoverable learning</w:t>
            </w:r>
          </w:p>
        </w:tc>
        <w:tc>
          <w:tcPr>
            <w:tcW w:type="dxa" w:w="3100"/>
            <w:vAlign w:val="center"/>
          </w:tcPr>
          <w:p>
            <w:pPr>
              <w:spacing w:before="0" w:after="0" w:line="252" w:lineRule="auto"/>
            </w:pPr>
            <w:r/>
            <w:r>
              <w:rPr>
                <w:rFonts w:ascii="Calibri" w:hAnsi="Calibri" w:eastAsia="Calibri"/>
                <w:b w:val="0"/>
                <w:sz w:val="17"/>
              </w:rPr>
              <w:t>Same as B, with heavier academic mapping and admissions rationale</w:t>
            </w:r>
          </w:p>
        </w:tc>
        <w:tc>
          <w:tcPr>
            <w:tcW w:type="dxa" w:w="1860"/>
            <w:vAlign w:val="center"/>
          </w:tcPr>
          <w:p>
            <w:pPr>
              <w:spacing w:before="0" w:after="0" w:line="252" w:lineRule="auto"/>
            </w:pPr>
            <w:r/>
            <w:r>
              <w:rPr>
                <w:rFonts w:ascii="Calibri" w:hAnsi="Calibri" w:eastAsia="Calibri"/>
                <w:b w:val="0"/>
                <w:sz w:val="17"/>
              </w:rPr>
              <w:t>Faculty, timetable, and admissions-approval bottlenecks</w:t>
            </w:r>
          </w:p>
        </w:tc>
      </w:tr>
    </w:tbl>
    <w:p>
      <w:pPr>
        <w:spacing w:before="0" w:after="160" w:line="264" w:lineRule="auto"/>
      </w:pPr>
    </w:p>
    <w:p>
      <w:pPr>
        <w:spacing w:before="0" w:after="160" w:line="264" w:lineRule="auto"/>
      </w:pPr>
      <w:r>
        <w:rPr>
          <w:rFonts w:ascii="Calibri" w:hAnsi="Calibri" w:eastAsia="Calibri"/>
          <w:b w:val="0"/>
          <w:color w:val="545D57"/>
          <w:sz w:val="19"/>
        </w:rPr>
        <w:t>Staffing load: At least 5 faculty  |  Credit complexity: High but more mapping value  |  Timeline: Longer local phase; SIM and MOE cycles both matter</w:t>
      </w:r>
    </w:p>
    <w:p>
      <w:pPr>
        <w:pStyle w:val="Heading2"/>
        <w:spacing w:before="240" w:after="120" w:line="264" w:lineRule="auto"/>
      </w:pPr>
      <w:r>
        <w:rPr>
          <w:rFonts w:ascii="Calibri" w:hAnsi="Calibri" w:eastAsia="Calibri"/>
          <w:b/>
          <w:color w:val="2E74B5"/>
          <w:sz w:val="26"/>
        </w:rPr>
        <w:t>D. Optional CGU degree return path</w:t>
      </w:r>
    </w:p>
    <w:tbl>
      <w:tblPr>
        <w:tblStyle w:val="TableGrid"/>
        <w:tblW w:type="dxa" w:w="9360"/>
        <w:jc w:val="left"/>
        <w:tblLayout w:type="fixed"/>
        <w:tblLook w:firstColumn="1" w:firstRow="1" w:lastColumn="0" w:lastRow="0" w:noHBand="0" w:noVBand="1" w:val="04A0"/>
        <w:tblInd w:w="120" w:type="dxa"/>
      </w:tblPr>
      <w:tblGrid>
        <w:gridCol w:w="2200"/>
        <w:gridCol w:w="2200"/>
        <w:gridCol w:w="3100"/>
        <w:gridCol w:w="1860"/>
      </w:tblGrid>
      <w:tr>
        <w:tc>
          <w:tcPr>
            <w:tcW w:type="dxa" w:w="22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Student value</w:t>
            </w:r>
          </w:p>
        </w:tc>
        <w:tc>
          <w:tcPr>
            <w:tcW w:type="dxa" w:w="22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CGU value</w:t>
            </w:r>
          </w:p>
        </w:tc>
        <w:tc>
          <w:tcPr>
            <w:tcW w:type="dxa" w:w="31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Approvals</w:t>
            </w:r>
          </w:p>
        </w:tc>
        <w:tc>
          <w:tcPr>
            <w:tcW w:type="dxa" w:w="186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Risk</w:t>
            </w:r>
          </w:p>
        </w:tc>
      </w:tr>
      <w:tr>
        <w:tc>
          <w:tcPr>
            <w:tcW w:type="dxa" w:w="2200"/>
            <w:vAlign w:val="center"/>
          </w:tcPr>
          <w:p>
            <w:pPr>
              <w:spacing w:before="0" w:after="0" w:line="252" w:lineRule="auto"/>
            </w:pPr>
            <w:r/>
            <w:r>
              <w:rPr>
                <w:rFonts w:ascii="Calibri" w:hAnsi="Calibri" w:eastAsia="Calibri"/>
                <w:b/>
                <w:sz w:val="17"/>
              </w:rPr>
              <w:t>Possible CGU degree plus overseas partner degree</w:t>
            </w:r>
          </w:p>
        </w:tc>
        <w:tc>
          <w:tcPr>
            <w:tcW w:type="dxa" w:w="2200"/>
            <w:vAlign w:val="center"/>
          </w:tcPr>
          <w:p>
            <w:pPr>
              <w:spacing w:before="0" w:after="0" w:line="252" w:lineRule="auto"/>
            </w:pPr>
            <w:r/>
            <w:r>
              <w:rPr>
                <w:rFonts w:ascii="Calibri" w:hAnsi="Calibri" w:eastAsia="Calibri"/>
                <w:b w:val="0"/>
                <w:sz w:val="17"/>
              </w:rPr>
              <w:t>Retention and degree-completion upside</w:t>
            </w:r>
          </w:p>
        </w:tc>
        <w:tc>
          <w:tcPr>
            <w:tcW w:type="dxa" w:w="3100"/>
            <w:vAlign w:val="center"/>
          </w:tcPr>
          <w:p>
            <w:pPr>
              <w:spacing w:before="0" w:after="0" w:line="252" w:lineRule="auto"/>
            </w:pPr>
            <w:r/>
            <w:r>
              <w:rPr>
                <w:rFonts w:ascii="Calibri" w:hAnsi="Calibri" w:eastAsia="Calibri"/>
                <w:b w:val="0"/>
                <w:sz w:val="17"/>
              </w:rPr>
              <w:t>Academic Affairs, college, and MOE-sensitive admissions/tuition review</w:t>
            </w:r>
          </w:p>
        </w:tc>
        <w:tc>
          <w:tcPr>
            <w:tcW w:type="dxa" w:w="1860"/>
            <w:vAlign w:val="center"/>
          </w:tcPr>
          <w:p>
            <w:pPr>
              <w:spacing w:before="0" w:after="0" w:line="252" w:lineRule="auto"/>
            </w:pPr>
            <w:r/>
            <w:r>
              <w:rPr>
                <w:rFonts w:ascii="Calibri" w:hAnsi="Calibri" w:eastAsia="Calibri"/>
                <w:b w:val="0"/>
                <w:sz w:val="17"/>
              </w:rPr>
              <w:t>Do not market as dual degree yet</w:t>
            </w:r>
          </w:p>
        </w:tc>
      </w:tr>
    </w:tbl>
    <w:p>
      <w:pPr>
        <w:spacing w:before="0" w:after="160" w:line="264" w:lineRule="auto"/>
      </w:pPr>
    </w:p>
    <w:p>
      <w:pPr>
        <w:spacing w:before="0" w:after="160" w:line="264" w:lineRule="auto"/>
      </w:pPr>
      <w:r>
        <w:rPr>
          <w:rFonts w:ascii="Calibri" w:hAnsi="Calibri" w:eastAsia="Calibri"/>
          <w:b w:val="0"/>
          <w:color w:val="545D57"/>
          <w:sz w:val="19"/>
        </w:rPr>
        <w:t>Staffing load: Depends on return curriculum  |  Credit complexity: Very high until rule is confirmed  |  Timeline: Second-stage design only</w:t>
      </w:r>
    </w:p>
    <w:p>
      <w:bookmarkStart w:id="8" w:name="toc_risks"/>
      <w:pPr>
        <w:pStyle w:val="Heading1"/>
        <w:spacing w:before="320" w:after="160" w:line="264" w:lineRule="auto"/>
      </w:pPr>
      <w:r>
        <w:rPr>
          <w:rFonts w:ascii="Calibri" w:hAnsi="Calibri" w:eastAsia="Calibri"/>
          <w:b/>
          <w:color w:val="2E74B5"/>
          <w:sz w:val="32"/>
        </w:rPr>
        <w:t>Risk Register</w:t>
      </w:r>
      <w:bookmarkEnd w:id="8"/>
    </w:p>
    <w:tbl>
      <w:tblPr>
        <w:tblStyle w:val="TableGrid"/>
        <w:tblW w:type="dxa" w:w="9360"/>
        <w:jc w:val="left"/>
        <w:tblLayout w:type="fixed"/>
        <w:tblLook w:firstColumn="1" w:firstRow="1" w:lastColumn="0" w:lastRow="0" w:noHBand="0" w:noVBand="1" w:val="04A0"/>
        <w:tblInd w:w="120" w:type="dxa"/>
      </w:tblPr>
      <w:tblGrid>
        <w:gridCol w:w="2850"/>
        <w:gridCol w:w="850"/>
        <w:gridCol w:w="900"/>
        <w:gridCol w:w="1550"/>
        <w:gridCol w:w="3210"/>
      </w:tblGrid>
      <w:tr>
        <w:tc>
          <w:tcPr>
            <w:tcW w:type="dxa" w:w="28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Risk</w:t>
            </w:r>
          </w:p>
        </w:tc>
        <w:tc>
          <w:tcPr>
            <w:tcW w:type="dxa" w:w="8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Severity</w:t>
            </w:r>
          </w:p>
        </w:tc>
        <w:tc>
          <w:tcPr>
            <w:tcW w:type="dxa" w:w="9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Likelihood</w:t>
            </w:r>
          </w:p>
        </w:tc>
        <w:tc>
          <w:tcPr>
            <w:tcW w:type="dxa" w:w="15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Owner</w:t>
            </w:r>
          </w:p>
        </w:tc>
        <w:tc>
          <w:tcPr>
            <w:tcW w:type="dxa" w:w="321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Mitigation / Next action</w:t>
            </w:r>
          </w:p>
        </w:tc>
      </w:tr>
      <w:tr>
        <w:tc>
          <w:tcPr>
            <w:tcW w:type="dxa" w:w="2850"/>
            <w:vAlign w:val="center"/>
          </w:tcPr>
          <w:p>
            <w:pPr>
              <w:spacing w:before="0" w:after="0" w:line="252" w:lineRule="auto"/>
            </w:pPr>
            <w:r/>
            <w:r>
              <w:rPr>
                <w:rFonts w:ascii="Calibri" w:hAnsi="Calibri" w:eastAsia="Calibri"/>
                <w:b/>
                <w:sz w:val="15"/>
              </w:rPr>
              <w:t>Independent admissions permission may be denied by Taiwan's MOE.</w:t>
            </w:r>
          </w:p>
        </w:tc>
        <w:tc>
          <w:tcPr>
            <w:tcW w:type="dxa" w:w="850"/>
            <w:vAlign w:val="center"/>
          </w:tcPr>
          <w:p>
            <w:pPr>
              <w:spacing w:before="0" w:after="0" w:line="252" w:lineRule="auto"/>
            </w:pPr>
            <w:r/>
            <w:r>
              <w:rPr>
                <w:rFonts w:ascii="Calibri" w:hAnsi="Calibri" w:eastAsia="Calibri"/>
                <w:b w:val="0"/>
                <w:sz w:val="15"/>
              </w:rPr>
              <w:t>High</w:t>
            </w:r>
          </w:p>
        </w:tc>
        <w:tc>
          <w:tcPr>
            <w:tcW w:type="dxa" w:w="900"/>
            <w:vAlign w:val="center"/>
          </w:tcPr>
          <w:p>
            <w:pPr>
              <w:spacing w:before="0" w:after="0" w:line="252" w:lineRule="auto"/>
            </w:pPr>
            <w:r/>
            <w:r>
              <w:rPr>
                <w:rFonts w:ascii="Calibri" w:hAnsi="Calibri" w:eastAsia="Calibri"/>
                <w:b w:val="0"/>
                <w:sz w:val="15"/>
              </w:rPr>
              <w:t>Medium-high</w:t>
            </w:r>
          </w:p>
        </w:tc>
        <w:tc>
          <w:tcPr>
            <w:tcW w:type="dxa" w:w="1550"/>
            <w:vAlign w:val="center"/>
          </w:tcPr>
          <w:p>
            <w:pPr>
              <w:spacing w:before="0" w:after="0" w:line="252" w:lineRule="auto"/>
            </w:pPr>
            <w:r/>
            <w:r>
              <w:rPr>
                <w:rFonts w:ascii="Calibri" w:hAnsi="Calibri" w:eastAsia="Calibri"/>
                <w:b w:val="0"/>
                <w:sz w:val="15"/>
              </w:rPr>
              <w:t>Admissions / Academic Affairs</w:t>
            </w:r>
          </w:p>
        </w:tc>
        <w:tc>
          <w:tcPr>
            <w:tcW w:type="dxa" w:w="3210"/>
            <w:vAlign w:val="center"/>
          </w:tcPr>
          <w:p>
            <w:pPr>
              <w:spacing w:before="0" w:after="0" w:line="252" w:lineRule="auto"/>
            </w:pPr>
            <w:r/>
            <w:r>
              <w:rPr>
                <w:rFonts w:ascii="Calibri" w:hAnsi="Calibri" w:eastAsia="Calibri"/>
                <w:b w:val="0"/>
                <w:sz w:val="15"/>
              </w:rPr>
              <w:t>Treat MOE approval as a parallel go/no-go gate with SIM review; do not recruit until both are cleared. Confirm application route, tuition/quota framing, and submission requirements with MOE.</w:t>
            </w:r>
          </w:p>
        </w:tc>
      </w:tr>
      <w:tr>
        <w:tc>
          <w:tcPr>
            <w:tcW w:type="dxa" w:w="2850"/>
            <w:vAlign w:val="center"/>
          </w:tcPr>
          <w:p>
            <w:pPr>
              <w:spacing w:before="0" w:after="0" w:line="252" w:lineRule="auto"/>
            </w:pPr>
            <w:r/>
            <w:r>
              <w:rPr>
                <w:rFonts w:ascii="Calibri" w:hAnsi="Calibri" w:eastAsia="Calibri"/>
                <w:b/>
                <w:sz w:val="15"/>
              </w:rPr>
              <w:t>CGU/Taiwan credit or residence requirement may prevent an easy dual-degree story.</w:t>
            </w:r>
          </w:p>
        </w:tc>
        <w:tc>
          <w:tcPr>
            <w:tcW w:type="dxa" w:w="850"/>
            <w:vAlign w:val="center"/>
          </w:tcPr>
          <w:p>
            <w:pPr>
              <w:spacing w:before="0" w:after="0" w:line="252" w:lineRule="auto"/>
            </w:pPr>
            <w:r/>
            <w:r>
              <w:rPr>
                <w:rFonts w:ascii="Calibri" w:hAnsi="Calibri" w:eastAsia="Calibri"/>
                <w:b w:val="0"/>
                <w:sz w:val="15"/>
              </w:rPr>
              <w:t>High</w:t>
            </w:r>
          </w:p>
        </w:tc>
        <w:tc>
          <w:tcPr>
            <w:tcW w:type="dxa" w:w="900"/>
            <w:vAlign w:val="center"/>
          </w:tcPr>
          <w:p>
            <w:pPr>
              <w:spacing w:before="0" w:after="0" w:line="252" w:lineRule="auto"/>
            </w:pPr>
            <w:r/>
            <w:r>
              <w:rPr>
                <w:rFonts w:ascii="Calibri" w:hAnsi="Calibri" w:eastAsia="Calibri"/>
                <w:b w:val="0"/>
                <w:sz w:val="15"/>
              </w:rPr>
              <w:t>High</w:t>
            </w:r>
          </w:p>
        </w:tc>
        <w:tc>
          <w:tcPr>
            <w:tcW w:type="dxa" w:w="1550"/>
            <w:vAlign w:val="center"/>
          </w:tcPr>
          <w:p>
            <w:pPr>
              <w:spacing w:before="0" w:after="0" w:line="252" w:lineRule="auto"/>
            </w:pPr>
            <w:r/>
            <w:r>
              <w:rPr>
                <w:rFonts w:ascii="Calibri" w:hAnsi="Calibri" w:eastAsia="Calibri"/>
                <w:b w:val="0"/>
                <w:sz w:val="15"/>
              </w:rPr>
              <w:t>Academic Affairs</w:t>
            </w:r>
          </w:p>
        </w:tc>
        <w:tc>
          <w:tcPr>
            <w:tcW w:type="dxa" w:w="3210"/>
            <w:vAlign w:val="center"/>
          </w:tcPr>
          <w:p>
            <w:pPr>
              <w:spacing w:before="0" w:after="0" w:line="252" w:lineRule="auto"/>
            </w:pPr>
            <w:r/>
            <w:r>
              <w:rPr>
                <w:rFonts w:ascii="Calibri" w:hAnsi="Calibri" w:eastAsia="Calibri"/>
                <w:b w:val="0"/>
                <w:sz w:val="15"/>
              </w:rPr>
              <w:t>Position CGU degree as optional pending formal Academic Affairs interpretation. Issue credit/time/residency ruling.</w:t>
            </w:r>
          </w:p>
        </w:tc>
      </w:tr>
      <w:tr>
        <w:tc>
          <w:tcPr>
            <w:tcW w:type="dxa" w:w="2850"/>
            <w:vAlign w:val="center"/>
          </w:tcPr>
          <w:p>
            <w:pPr>
              <w:spacing w:before="0" w:after="0" w:line="252" w:lineRule="auto"/>
            </w:pPr>
            <w:r/>
            <w:r>
              <w:rPr>
                <w:rFonts w:ascii="Calibri" w:hAnsi="Calibri" w:eastAsia="Calibri"/>
                <w:b/>
                <w:sz w:val="15"/>
              </w:rPr>
              <w:t>Student status during overseas phase may require leave or withdrawal.</w:t>
            </w:r>
          </w:p>
        </w:tc>
        <w:tc>
          <w:tcPr>
            <w:tcW w:type="dxa" w:w="850"/>
            <w:vAlign w:val="center"/>
          </w:tcPr>
          <w:p>
            <w:pPr>
              <w:spacing w:before="0" w:after="0" w:line="252" w:lineRule="auto"/>
            </w:pPr>
            <w:r/>
            <w:r>
              <w:rPr>
                <w:rFonts w:ascii="Calibri" w:hAnsi="Calibri" w:eastAsia="Calibri"/>
                <w:b w:val="0"/>
                <w:sz w:val="15"/>
              </w:rPr>
              <w:t>High</w:t>
            </w:r>
          </w:p>
        </w:tc>
        <w:tc>
          <w:tcPr>
            <w:tcW w:type="dxa" w:w="900"/>
            <w:vAlign w:val="center"/>
          </w:tcPr>
          <w:p>
            <w:pPr>
              <w:spacing w:before="0" w:after="0" w:line="252" w:lineRule="auto"/>
            </w:pPr>
            <w:r/>
            <w:r>
              <w:rPr>
                <w:rFonts w:ascii="Calibri" w:hAnsi="Calibri" w:eastAsia="Calibri"/>
                <w:b w:val="0"/>
                <w:sz w:val="15"/>
              </w:rPr>
              <w:t>High</w:t>
            </w:r>
          </w:p>
        </w:tc>
        <w:tc>
          <w:tcPr>
            <w:tcW w:type="dxa" w:w="1550"/>
            <w:vAlign w:val="center"/>
          </w:tcPr>
          <w:p>
            <w:pPr>
              <w:spacing w:before="0" w:after="0" w:line="252" w:lineRule="auto"/>
            </w:pPr>
            <w:r/>
            <w:r>
              <w:rPr>
                <w:rFonts w:ascii="Calibri" w:hAnsi="Calibri" w:eastAsia="Calibri"/>
                <w:b w:val="0"/>
                <w:sz w:val="15"/>
              </w:rPr>
              <w:t>Academic Affairs</w:t>
            </w:r>
          </w:p>
        </w:tc>
        <w:tc>
          <w:tcPr>
            <w:tcW w:type="dxa" w:w="3210"/>
            <w:vAlign w:val="center"/>
          </w:tcPr>
          <w:p>
            <w:pPr>
              <w:spacing w:before="0" w:after="0" w:line="252" w:lineRule="auto"/>
            </w:pPr>
            <w:r/>
            <w:r>
              <w:rPr>
                <w:rFonts w:ascii="Calibri" w:hAnsi="Calibri" w:eastAsia="Calibri"/>
                <w:b w:val="0"/>
                <w:sz w:val="15"/>
              </w:rPr>
              <w:t>Create advising model and status decision tree before recruitment. Define status options for SIM progression.</w:t>
            </w:r>
          </w:p>
        </w:tc>
      </w:tr>
      <w:tr>
        <w:tc>
          <w:tcPr>
            <w:tcW w:type="dxa" w:w="2850"/>
            <w:vAlign w:val="center"/>
          </w:tcPr>
          <w:p>
            <w:pPr>
              <w:spacing w:before="0" w:after="0" w:line="252" w:lineRule="auto"/>
            </w:pPr>
            <w:r/>
            <w:r>
              <w:rPr>
                <w:rFonts w:ascii="Calibri" w:hAnsi="Calibri" w:eastAsia="Calibri"/>
                <w:b/>
                <w:sz w:val="15"/>
              </w:rPr>
              <w:t>NDA no-publicity clause constrains recruitment communications.</w:t>
            </w:r>
          </w:p>
        </w:tc>
        <w:tc>
          <w:tcPr>
            <w:tcW w:type="dxa" w:w="850"/>
            <w:vAlign w:val="center"/>
          </w:tcPr>
          <w:p>
            <w:pPr>
              <w:spacing w:before="0" w:after="0" w:line="252" w:lineRule="auto"/>
            </w:pPr>
            <w:r/>
            <w:r>
              <w:rPr>
                <w:rFonts w:ascii="Calibri" w:hAnsi="Calibri" w:eastAsia="Calibri"/>
                <w:b w:val="0"/>
                <w:sz w:val="15"/>
              </w:rPr>
              <w:t>High</w:t>
            </w:r>
          </w:p>
        </w:tc>
        <w:tc>
          <w:tcPr>
            <w:tcW w:type="dxa" w:w="900"/>
            <w:vAlign w:val="center"/>
          </w:tcPr>
          <w:p>
            <w:pPr>
              <w:spacing w:before="0" w:after="0" w:line="252" w:lineRule="auto"/>
            </w:pPr>
            <w:r/>
            <w:r>
              <w:rPr>
                <w:rFonts w:ascii="Calibri" w:hAnsi="Calibri" w:eastAsia="Calibri"/>
                <w:b w:val="0"/>
                <w:sz w:val="15"/>
              </w:rPr>
              <w:t>Medium</w:t>
            </w:r>
          </w:p>
        </w:tc>
        <w:tc>
          <w:tcPr>
            <w:tcW w:type="dxa" w:w="1550"/>
            <w:vAlign w:val="center"/>
          </w:tcPr>
          <w:p>
            <w:pPr>
              <w:spacing w:before="0" w:after="0" w:line="252" w:lineRule="auto"/>
            </w:pPr>
            <w:r/>
            <w:r>
              <w:rPr>
                <w:rFonts w:ascii="Calibri" w:hAnsi="Calibri" w:eastAsia="Calibri"/>
                <w:b w:val="0"/>
                <w:sz w:val="15"/>
              </w:rPr>
              <w:t>Legal / recruitment</w:t>
            </w:r>
          </w:p>
        </w:tc>
        <w:tc>
          <w:tcPr>
            <w:tcW w:type="dxa" w:w="3210"/>
            <w:vAlign w:val="center"/>
          </w:tcPr>
          <w:p>
            <w:pPr>
              <w:spacing w:before="0" w:after="0" w:line="252" w:lineRule="auto"/>
            </w:pPr>
            <w:r/>
            <w:r>
              <w:rPr>
                <w:rFonts w:ascii="Calibri" w:hAnsi="Calibri" w:eastAsia="Calibri"/>
                <w:b w:val="0"/>
                <w:sz w:val="15"/>
              </w:rPr>
              <w:t>No public SIM claims until legal and SIM written permission are secured. Draft approved message boundaries.</w:t>
            </w:r>
          </w:p>
        </w:tc>
      </w:tr>
      <w:tr>
        <w:tc>
          <w:tcPr>
            <w:tcW w:type="dxa" w:w="2850"/>
            <w:vAlign w:val="center"/>
          </w:tcPr>
          <w:p>
            <w:pPr>
              <w:spacing w:before="0" w:after="0" w:line="252" w:lineRule="auto"/>
            </w:pPr>
            <w:r/>
            <w:r>
              <w:rPr>
                <w:rFonts w:ascii="Calibri" w:hAnsi="Calibri" w:eastAsia="Calibri"/>
                <w:b/>
                <w:sz w:val="15"/>
              </w:rPr>
              <w:t>Singapore governing law, jurisdiction, and PDPA may require escalation.</w:t>
            </w:r>
          </w:p>
        </w:tc>
        <w:tc>
          <w:tcPr>
            <w:tcW w:type="dxa" w:w="850"/>
            <w:vAlign w:val="center"/>
          </w:tcPr>
          <w:p>
            <w:pPr>
              <w:spacing w:before="0" w:after="0" w:line="252" w:lineRule="auto"/>
            </w:pPr>
            <w:r/>
            <w:r>
              <w:rPr>
                <w:rFonts w:ascii="Calibri" w:hAnsi="Calibri" w:eastAsia="Calibri"/>
                <w:b w:val="0"/>
                <w:sz w:val="15"/>
              </w:rPr>
              <w:t>Medium-high</w:t>
            </w:r>
          </w:p>
        </w:tc>
        <w:tc>
          <w:tcPr>
            <w:tcW w:type="dxa" w:w="900"/>
            <w:vAlign w:val="center"/>
          </w:tcPr>
          <w:p>
            <w:pPr>
              <w:spacing w:before="0" w:after="0" w:line="252" w:lineRule="auto"/>
            </w:pPr>
            <w:r/>
            <w:r>
              <w:rPr>
                <w:rFonts w:ascii="Calibri" w:hAnsi="Calibri" w:eastAsia="Calibri"/>
                <w:b w:val="0"/>
                <w:sz w:val="15"/>
              </w:rPr>
              <w:t>Medium</w:t>
            </w:r>
          </w:p>
        </w:tc>
        <w:tc>
          <w:tcPr>
            <w:tcW w:type="dxa" w:w="1550"/>
            <w:vAlign w:val="center"/>
          </w:tcPr>
          <w:p>
            <w:pPr>
              <w:spacing w:before="0" w:after="0" w:line="252" w:lineRule="auto"/>
            </w:pPr>
            <w:r/>
            <w:r>
              <w:rPr>
                <w:rFonts w:ascii="Calibri" w:hAnsi="Calibri" w:eastAsia="Calibri"/>
                <w:b w:val="0"/>
                <w:sz w:val="15"/>
              </w:rPr>
              <w:t>Legal</w:t>
            </w:r>
          </w:p>
        </w:tc>
        <w:tc>
          <w:tcPr>
            <w:tcW w:type="dxa" w:w="3210"/>
            <w:vAlign w:val="center"/>
          </w:tcPr>
          <w:p>
            <w:pPr>
              <w:spacing w:before="0" w:after="0" w:line="252" w:lineRule="auto"/>
            </w:pPr>
            <w:r/>
            <w:r>
              <w:rPr>
                <w:rFonts w:ascii="Calibri" w:hAnsi="Calibri" w:eastAsia="Calibri"/>
                <w:b w:val="0"/>
                <w:sz w:val="15"/>
              </w:rPr>
              <w:t>Legal review before signature and later agreement negotiation. Complete NDA red-flag memo.</w:t>
            </w:r>
          </w:p>
        </w:tc>
      </w:tr>
      <w:tr>
        <w:tc>
          <w:tcPr>
            <w:tcW w:type="dxa" w:w="2850"/>
            <w:vAlign w:val="center"/>
          </w:tcPr>
          <w:p>
            <w:pPr>
              <w:spacing w:before="0" w:after="0" w:line="252" w:lineRule="auto"/>
            </w:pPr>
            <w:r/>
            <w:r>
              <w:rPr>
                <w:rFonts w:ascii="Calibri" w:hAnsi="Calibri" w:eastAsia="Calibri"/>
                <w:b/>
                <w:sz w:val="15"/>
              </w:rPr>
              <w:t>Exact blended delivery split is locked behind Annexes and differs from the conversation-stage approximation.</w:t>
            </w:r>
          </w:p>
        </w:tc>
        <w:tc>
          <w:tcPr>
            <w:tcW w:type="dxa" w:w="850"/>
            <w:vAlign w:val="center"/>
          </w:tcPr>
          <w:p>
            <w:pPr>
              <w:spacing w:before="0" w:after="0" w:line="252" w:lineRule="auto"/>
            </w:pPr>
            <w:r/>
            <w:r>
              <w:rPr>
                <w:rFonts w:ascii="Calibri" w:hAnsi="Calibri" w:eastAsia="Calibri"/>
                <w:b w:val="0"/>
                <w:sz w:val="15"/>
              </w:rPr>
              <w:t>Medium-high</w:t>
            </w:r>
          </w:p>
        </w:tc>
        <w:tc>
          <w:tcPr>
            <w:tcW w:type="dxa" w:w="900"/>
            <w:vAlign w:val="center"/>
          </w:tcPr>
          <w:p>
            <w:pPr>
              <w:spacing w:before="0" w:after="0" w:line="252" w:lineRule="auto"/>
            </w:pPr>
            <w:r/>
            <w:r>
              <w:rPr>
                <w:rFonts w:ascii="Calibri" w:hAnsi="Calibri" w:eastAsia="Calibri"/>
                <w:b w:val="0"/>
                <w:sz w:val="15"/>
              </w:rPr>
              <w:t>High</w:t>
            </w:r>
          </w:p>
        </w:tc>
        <w:tc>
          <w:tcPr>
            <w:tcW w:type="dxa" w:w="1550"/>
            <w:vAlign w:val="center"/>
          </w:tcPr>
          <w:p>
            <w:pPr>
              <w:spacing w:before="0" w:after="0" w:line="252" w:lineRule="auto"/>
            </w:pPr>
            <w:r/>
            <w:r>
              <w:rPr>
                <w:rFonts w:ascii="Calibri" w:hAnsi="Calibri" w:eastAsia="Calibri"/>
                <w:b w:val="0"/>
                <w:sz w:val="15"/>
              </w:rPr>
              <w:t>SIM liaison</w:t>
            </w:r>
          </w:p>
        </w:tc>
        <w:tc>
          <w:tcPr>
            <w:tcW w:type="dxa" w:w="3210"/>
            <w:vAlign w:val="center"/>
          </w:tcPr>
          <w:p>
            <w:pPr>
              <w:spacing w:before="0" w:after="0" w:line="252" w:lineRule="auto"/>
            </w:pPr>
            <w:r/>
            <w:r>
              <w:rPr>
                <w:rFonts w:ascii="Calibri" w:hAnsi="Calibri" w:eastAsia="Calibri"/>
                <w:b w:val="0"/>
                <w:sz w:val="15"/>
              </w:rPr>
              <w:t>Use Application Form Appendix A as current document fact; reconcile after Annex review. Ask SIM to confirm split by module type.</w:t>
            </w:r>
          </w:p>
        </w:tc>
      </w:tr>
      <w:tr>
        <w:tc>
          <w:tcPr>
            <w:tcW w:type="dxa" w:w="2850"/>
            <w:vAlign w:val="center"/>
          </w:tcPr>
          <w:p>
            <w:pPr>
              <w:spacing w:before="0" w:after="0" w:line="252" w:lineRule="auto"/>
            </w:pPr>
            <w:r/>
            <w:r>
              <w:rPr>
                <w:rFonts w:ascii="Calibri" w:hAnsi="Calibri" w:eastAsia="Calibri"/>
                <w:b/>
                <w:sz w:val="15"/>
              </w:rPr>
              <w:t>DMS module sequence discrepancy between PDF and xlsx Data sheet.</w:t>
            </w:r>
          </w:p>
        </w:tc>
        <w:tc>
          <w:tcPr>
            <w:tcW w:type="dxa" w:w="850"/>
            <w:vAlign w:val="center"/>
          </w:tcPr>
          <w:p>
            <w:pPr>
              <w:spacing w:before="0" w:after="0" w:line="252" w:lineRule="auto"/>
            </w:pPr>
            <w:r/>
            <w:r>
              <w:rPr>
                <w:rFonts w:ascii="Calibri" w:hAnsi="Calibri" w:eastAsia="Calibri"/>
                <w:b w:val="0"/>
                <w:sz w:val="15"/>
              </w:rPr>
              <w:t>Medium</w:t>
            </w:r>
          </w:p>
        </w:tc>
        <w:tc>
          <w:tcPr>
            <w:tcW w:type="dxa" w:w="900"/>
            <w:vAlign w:val="center"/>
          </w:tcPr>
          <w:p>
            <w:pPr>
              <w:spacing w:before="0" w:after="0" w:line="252" w:lineRule="auto"/>
            </w:pPr>
            <w:r/>
            <w:r>
              <w:rPr>
                <w:rFonts w:ascii="Calibri" w:hAnsi="Calibri" w:eastAsia="Calibri"/>
                <w:b w:val="0"/>
                <w:sz w:val="15"/>
              </w:rPr>
              <w:t>High</w:t>
            </w:r>
          </w:p>
        </w:tc>
        <w:tc>
          <w:tcPr>
            <w:tcW w:type="dxa" w:w="1550"/>
            <w:vAlign w:val="center"/>
          </w:tcPr>
          <w:p>
            <w:pPr>
              <w:spacing w:before="0" w:after="0" w:line="252" w:lineRule="auto"/>
            </w:pPr>
            <w:r/>
            <w:r>
              <w:rPr>
                <w:rFonts w:ascii="Calibri" w:hAnsi="Calibri" w:eastAsia="Calibri"/>
                <w:b w:val="0"/>
                <w:sz w:val="15"/>
              </w:rPr>
              <w:t>Academic lead</w:t>
            </w:r>
          </w:p>
        </w:tc>
        <w:tc>
          <w:tcPr>
            <w:tcW w:type="dxa" w:w="3210"/>
            <w:vAlign w:val="center"/>
          </w:tcPr>
          <w:p>
            <w:pPr>
              <w:spacing w:before="0" w:after="0" w:line="252" w:lineRule="auto"/>
            </w:pPr>
            <w:r/>
            <w:r>
              <w:rPr>
                <w:rFonts w:ascii="Calibri" w:hAnsi="Calibri" w:eastAsia="Calibri"/>
                <w:b w:val="0"/>
                <w:sz w:val="15"/>
              </w:rPr>
              <w:t>Do not finalize 6/9-module timetable until SIM confirms sequence. Request official module order.</w:t>
            </w:r>
          </w:p>
        </w:tc>
      </w:tr>
      <w:tr>
        <w:tc>
          <w:tcPr>
            <w:tcW w:type="dxa" w:w="2850"/>
            <w:vAlign w:val="center"/>
          </w:tcPr>
          <w:p>
            <w:pPr>
              <w:spacing w:before="0" w:after="0" w:line="252" w:lineRule="auto"/>
            </w:pPr>
            <w:r/>
            <w:r>
              <w:rPr>
                <w:rFonts w:ascii="Calibri" w:hAnsi="Calibri" w:eastAsia="Calibri"/>
                <w:b/>
                <w:sz w:val="15"/>
              </w:rPr>
              <w:t>Faculty bottleneck because each teacher is limited to two modules.</w:t>
            </w:r>
          </w:p>
        </w:tc>
        <w:tc>
          <w:tcPr>
            <w:tcW w:type="dxa" w:w="850"/>
            <w:vAlign w:val="center"/>
          </w:tcPr>
          <w:p>
            <w:pPr>
              <w:spacing w:before="0" w:after="0" w:line="252" w:lineRule="auto"/>
            </w:pPr>
            <w:r/>
            <w:r>
              <w:rPr>
                <w:rFonts w:ascii="Calibri" w:hAnsi="Calibri" w:eastAsia="Calibri"/>
                <w:b w:val="0"/>
                <w:sz w:val="15"/>
              </w:rPr>
              <w:t>High</w:t>
            </w:r>
          </w:p>
        </w:tc>
        <w:tc>
          <w:tcPr>
            <w:tcW w:type="dxa" w:w="900"/>
            <w:vAlign w:val="center"/>
          </w:tcPr>
          <w:p>
            <w:pPr>
              <w:spacing w:before="0" w:after="0" w:line="252" w:lineRule="auto"/>
            </w:pPr>
            <w:r/>
            <w:r>
              <w:rPr>
                <w:rFonts w:ascii="Calibri" w:hAnsi="Calibri" w:eastAsia="Calibri"/>
                <w:b w:val="0"/>
                <w:sz w:val="15"/>
              </w:rPr>
              <w:t>High</w:t>
            </w:r>
          </w:p>
        </w:tc>
        <w:tc>
          <w:tcPr>
            <w:tcW w:type="dxa" w:w="1550"/>
            <w:vAlign w:val="center"/>
          </w:tcPr>
          <w:p>
            <w:pPr>
              <w:spacing w:before="0" w:after="0" w:line="252" w:lineRule="auto"/>
            </w:pPr>
            <w:r/>
            <w:r>
              <w:rPr>
                <w:rFonts w:ascii="Calibri" w:hAnsi="Calibri" w:eastAsia="Calibri"/>
                <w:b w:val="0"/>
                <w:sz w:val="15"/>
              </w:rPr>
              <w:t>Staffing lead</w:t>
            </w:r>
          </w:p>
        </w:tc>
        <w:tc>
          <w:tcPr>
            <w:tcW w:type="dxa" w:w="3210"/>
            <w:vAlign w:val="center"/>
          </w:tcPr>
          <w:p>
            <w:pPr>
              <w:spacing w:before="0" w:after="0" w:line="252" w:lineRule="auto"/>
            </w:pPr>
            <w:r/>
            <w:r>
              <w:rPr>
                <w:rFonts w:ascii="Calibri" w:hAnsi="Calibri" w:eastAsia="Calibri"/>
                <w:b w:val="0"/>
                <w:sz w:val="15"/>
              </w:rPr>
              <w:t>Run 6-module and 9-module staffing inventory before scope decision. Nominate faculty and collect evidence.</w:t>
            </w:r>
          </w:p>
        </w:tc>
      </w:tr>
      <w:tr>
        <w:tc>
          <w:tcPr>
            <w:tcW w:type="dxa" w:w="2850"/>
            <w:vAlign w:val="center"/>
          </w:tcPr>
          <w:p>
            <w:pPr>
              <w:spacing w:before="0" w:after="0" w:line="252" w:lineRule="auto"/>
            </w:pPr>
            <w:r/>
            <w:r>
              <w:rPr>
                <w:rFonts w:ascii="Calibri" w:hAnsi="Calibri" w:eastAsia="Calibri"/>
                <w:b/>
                <w:sz w:val="15"/>
              </w:rPr>
              <w:t>Synchronous SIM online schedule may not align with CGU semesters.</w:t>
            </w:r>
          </w:p>
        </w:tc>
        <w:tc>
          <w:tcPr>
            <w:tcW w:type="dxa" w:w="850"/>
            <w:vAlign w:val="center"/>
          </w:tcPr>
          <w:p>
            <w:pPr>
              <w:spacing w:before="0" w:after="0" w:line="252" w:lineRule="auto"/>
            </w:pPr>
            <w:r/>
            <w:r>
              <w:rPr>
                <w:rFonts w:ascii="Calibri" w:hAnsi="Calibri" w:eastAsia="Calibri"/>
                <w:b w:val="0"/>
                <w:sz w:val="15"/>
              </w:rPr>
              <w:t>High</w:t>
            </w:r>
          </w:p>
        </w:tc>
        <w:tc>
          <w:tcPr>
            <w:tcW w:type="dxa" w:w="900"/>
            <w:vAlign w:val="center"/>
          </w:tcPr>
          <w:p>
            <w:pPr>
              <w:spacing w:before="0" w:after="0" w:line="252" w:lineRule="auto"/>
            </w:pPr>
            <w:r/>
            <w:r>
              <w:rPr>
                <w:rFonts w:ascii="Calibri" w:hAnsi="Calibri" w:eastAsia="Calibri"/>
                <w:b w:val="0"/>
                <w:sz w:val="15"/>
              </w:rPr>
              <w:t>Medium-high</w:t>
            </w:r>
          </w:p>
        </w:tc>
        <w:tc>
          <w:tcPr>
            <w:tcW w:type="dxa" w:w="1550"/>
            <w:vAlign w:val="center"/>
          </w:tcPr>
          <w:p>
            <w:pPr>
              <w:spacing w:before="0" w:after="0" w:line="252" w:lineRule="auto"/>
            </w:pPr>
            <w:r/>
            <w:r>
              <w:rPr>
                <w:rFonts w:ascii="Calibri" w:hAnsi="Calibri" w:eastAsia="Calibri"/>
                <w:b w:val="0"/>
                <w:sz w:val="15"/>
              </w:rPr>
              <w:t>Operations lead</w:t>
            </w:r>
          </w:p>
        </w:tc>
        <w:tc>
          <w:tcPr>
            <w:tcW w:type="dxa" w:w="3210"/>
            <w:vAlign w:val="center"/>
          </w:tcPr>
          <w:p>
            <w:pPr>
              <w:spacing w:before="0" w:after="0" w:line="252" w:lineRule="auto"/>
            </w:pPr>
            <w:r/>
            <w:r>
              <w:rPr>
                <w:rFonts w:ascii="Calibri" w:hAnsi="Calibri" w:eastAsia="Calibri"/>
                <w:b w:val="0"/>
                <w:sz w:val="15"/>
              </w:rPr>
              <w:t>Build timetable around SIM cycles and avoid assuming local compression. Get SIM timetable flexibility.</w:t>
            </w:r>
          </w:p>
        </w:tc>
      </w:tr>
      <w:tr>
        <w:tc>
          <w:tcPr>
            <w:tcW w:type="dxa" w:w="2850"/>
            <w:vAlign w:val="center"/>
          </w:tcPr>
          <w:p>
            <w:pPr>
              <w:spacing w:before="0" w:after="0" w:line="252" w:lineRule="auto"/>
            </w:pPr>
            <w:r/>
            <w:r>
              <w:rPr>
                <w:rFonts w:ascii="Calibri" w:hAnsi="Calibri" w:eastAsia="Calibri"/>
                <w:b/>
                <w:sz w:val="15"/>
              </w:rPr>
              <w:t>Exam marking and script-return logistics remain unresolved.</w:t>
            </w:r>
          </w:p>
        </w:tc>
        <w:tc>
          <w:tcPr>
            <w:tcW w:type="dxa" w:w="850"/>
            <w:vAlign w:val="center"/>
          </w:tcPr>
          <w:p>
            <w:pPr>
              <w:spacing w:before="0" w:after="0" w:line="252" w:lineRule="auto"/>
            </w:pPr>
            <w:r/>
            <w:r>
              <w:rPr>
                <w:rFonts w:ascii="Calibri" w:hAnsi="Calibri" w:eastAsia="Calibri"/>
                <w:b w:val="0"/>
                <w:sz w:val="15"/>
              </w:rPr>
              <w:t>Medium</w:t>
            </w:r>
          </w:p>
        </w:tc>
        <w:tc>
          <w:tcPr>
            <w:tcW w:type="dxa" w:w="900"/>
            <w:vAlign w:val="center"/>
          </w:tcPr>
          <w:p>
            <w:pPr>
              <w:spacing w:before="0" w:after="0" w:line="252" w:lineRule="auto"/>
            </w:pPr>
            <w:r/>
            <w:r>
              <w:rPr>
                <w:rFonts w:ascii="Calibri" w:hAnsi="Calibri" w:eastAsia="Calibri"/>
                <w:b w:val="0"/>
                <w:sz w:val="15"/>
              </w:rPr>
              <w:t>Medium</w:t>
            </w:r>
          </w:p>
        </w:tc>
        <w:tc>
          <w:tcPr>
            <w:tcW w:type="dxa" w:w="1550"/>
            <w:vAlign w:val="center"/>
          </w:tcPr>
          <w:p>
            <w:pPr>
              <w:spacing w:before="0" w:after="0" w:line="252" w:lineRule="auto"/>
            </w:pPr>
            <w:r/>
            <w:r>
              <w:rPr>
                <w:rFonts w:ascii="Calibri" w:hAnsi="Calibri" w:eastAsia="Calibri"/>
                <w:b w:val="0"/>
                <w:sz w:val="15"/>
              </w:rPr>
              <w:t>Operations lead</w:t>
            </w:r>
          </w:p>
        </w:tc>
        <w:tc>
          <w:tcPr>
            <w:tcW w:type="dxa" w:w="3210"/>
            <w:vAlign w:val="center"/>
          </w:tcPr>
          <w:p>
            <w:pPr>
              <w:spacing w:before="0" w:after="0" w:line="252" w:lineRule="auto"/>
            </w:pPr>
            <w:r/>
            <w:r>
              <w:rPr>
                <w:rFonts w:ascii="Calibri" w:hAnsi="Calibri" w:eastAsia="Calibri"/>
                <w:b w:val="0"/>
                <w:sz w:val="15"/>
              </w:rPr>
              <w:t>Clarify exam paper custody, invigilation, marking, and return chain. Ask SIM for assessment SOP.</w:t>
            </w:r>
          </w:p>
        </w:tc>
      </w:tr>
      <w:tr>
        <w:tc>
          <w:tcPr>
            <w:tcW w:type="dxa" w:w="2850"/>
            <w:vAlign w:val="center"/>
          </w:tcPr>
          <w:p>
            <w:pPr>
              <w:spacing w:before="0" w:after="0" w:line="252" w:lineRule="auto"/>
            </w:pPr>
            <w:r/>
            <w:r>
              <w:rPr>
                <w:rFonts w:ascii="Calibri" w:hAnsi="Calibri" w:eastAsia="Calibri"/>
                <w:b/>
                <w:sz w:val="15"/>
              </w:rPr>
              <w:t>Fees, revenue share, and audit costs are unavailable until Annexes.</w:t>
            </w:r>
          </w:p>
        </w:tc>
        <w:tc>
          <w:tcPr>
            <w:tcW w:type="dxa" w:w="850"/>
            <w:vAlign w:val="center"/>
          </w:tcPr>
          <w:p>
            <w:pPr>
              <w:spacing w:before="0" w:after="0" w:line="252" w:lineRule="auto"/>
            </w:pPr>
            <w:r/>
            <w:r>
              <w:rPr>
                <w:rFonts w:ascii="Calibri" w:hAnsi="Calibri" w:eastAsia="Calibri"/>
                <w:b w:val="0"/>
                <w:sz w:val="15"/>
              </w:rPr>
              <w:t>High</w:t>
            </w:r>
          </w:p>
        </w:tc>
        <w:tc>
          <w:tcPr>
            <w:tcW w:type="dxa" w:w="900"/>
            <w:vAlign w:val="center"/>
          </w:tcPr>
          <w:p>
            <w:pPr>
              <w:spacing w:before="0" w:after="0" w:line="252" w:lineRule="auto"/>
            </w:pPr>
            <w:r/>
            <w:r>
              <w:rPr>
                <w:rFonts w:ascii="Calibri" w:hAnsi="Calibri" w:eastAsia="Calibri"/>
                <w:b w:val="0"/>
                <w:sz w:val="15"/>
              </w:rPr>
              <w:t>High</w:t>
            </w:r>
          </w:p>
        </w:tc>
        <w:tc>
          <w:tcPr>
            <w:tcW w:type="dxa" w:w="1550"/>
            <w:vAlign w:val="center"/>
          </w:tcPr>
          <w:p>
            <w:pPr>
              <w:spacing w:before="0" w:after="0" w:line="252" w:lineRule="auto"/>
            </w:pPr>
            <w:r/>
            <w:r>
              <w:rPr>
                <w:rFonts w:ascii="Calibri" w:hAnsi="Calibri" w:eastAsia="Calibri"/>
                <w:b w:val="0"/>
                <w:sz w:val="15"/>
              </w:rPr>
              <w:t>Finance lead</w:t>
            </w:r>
          </w:p>
        </w:tc>
        <w:tc>
          <w:tcPr>
            <w:tcW w:type="dxa" w:w="3210"/>
            <w:vAlign w:val="center"/>
          </w:tcPr>
          <w:p>
            <w:pPr>
              <w:spacing w:before="0" w:after="0" w:line="252" w:lineRule="auto"/>
            </w:pPr>
            <w:r/>
            <w:r>
              <w:rPr>
                <w:rFonts w:ascii="Calibri" w:hAnsi="Calibri" w:eastAsia="Calibri"/>
                <w:b w:val="0"/>
                <w:sz w:val="15"/>
              </w:rPr>
              <w:t>Delay business-case approval until Annexes are reviewed. Build fee model after Annex release.</w:t>
            </w:r>
          </w:p>
        </w:tc>
      </w:tr>
      <w:tr>
        <w:tc>
          <w:tcPr>
            <w:tcW w:type="dxa" w:w="2850"/>
            <w:vAlign w:val="center"/>
          </w:tcPr>
          <w:p>
            <w:pPr>
              <w:spacing w:before="0" w:after="0" w:line="252" w:lineRule="auto"/>
            </w:pPr>
            <w:r/>
            <w:r>
              <w:rPr>
                <w:rFonts w:ascii="Calibri" w:hAnsi="Calibri" w:eastAsia="Calibri"/>
                <w:b/>
                <w:sz w:val="15"/>
              </w:rPr>
              <w:t>Minimum cohort size for post-cohort accreditation is unspecified.</w:t>
            </w:r>
          </w:p>
        </w:tc>
        <w:tc>
          <w:tcPr>
            <w:tcW w:type="dxa" w:w="850"/>
            <w:vAlign w:val="center"/>
          </w:tcPr>
          <w:p>
            <w:pPr>
              <w:spacing w:before="0" w:after="0" w:line="252" w:lineRule="auto"/>
            </w:pPr>
            <w:r/>
            <w:r>
              <w:rPr>
                <w:rFonts w:ascii="Calibri" w:hAnsi="Calibri" w:eastAsia="Calibri"/>
                <w:b w:val="0"/>
                <w:sz w:val="15"/>
              </w:rPr>
              <w:t>Medium</w:t>
            </w:r>
          </w:p>
        </w:tc>
        <w:tc>
          <w:tcPr>
            <w:tcW w:type="dxa" w:w="900"/>
            <w:vAlign w:val="center"/>
          </w:tcPr>
          <w:p>
            <w:pPr>
              <w:spacing w:before="0" w:after="0" w:line="252" w:lineRule="auto"/>
            </w:pPr>
            <w:r/>
            <w:r>
              <w:rPr>
                <w:rFonts w:ascii="Calibri" w:hAnsi="Calibri" w:eastAsia="Calibri"/>
                <w:b w:val="0"/>
                <w:sz w:val="15"/>
              </w:rPr>
              <w:t>Medium</w:t>
            </w:r>
          </w:p>
        </w:tc>
        <w:tc>
          <w:tcPr>
            <w:tcW w:type="dxa" w:w="1550"/>
            <w:vAlign w:val="center"/>
          </w:tcPr>
          <w:p>
            <w:pPr>
              <w:spacing w:before="0" w:after="0" w:line="252" w:lineRule="auto"/>
            </w:pPr>
            <w:r/>
            <w:r>
              <w:rPr>
                <w:rFonts w:ascii="Calibri" w:hAnsi="Calibri" w:eastAsia="Calibri"/>
                <w:b w:val="0"/>
                <w:sz w:val="15"/>
              </w:rPr>
              <w:t>SIM liaison</w:t>
            </w:r>
          </w:p>
        </w:tc>
        <w:tc>
          <w:tcPr>
            <w:tcW w:type="dxa" w:w="3210"/>
            <w:vAlign w:val="center"/>
          </w:tcPr>
          <w:p>
            <w:pPr>
              <w:spacing w:before="0" w:after="0" w:line="252" w:lineRule="auto"/>
            </w:pPr>
            <w:r/>
            <w:r>
              <w:rPr>
                <w:rFonts w:ascii="Calibri" w:hAnsi="Calibri" w:eastAsia="Calibri"/>
                <w:b w:val="0"/>
                <w:sz w:val="15"/>
              </w:rPr>
              <w:t>Include cohort threshold in SIM clarification log. Ask SIM for threshold and remote verification conditions.</w:t>
            </w:r>
          </w:p>
        </w:tc>
      </w:tr>
      <w:tr>
        <w:tc>
          <w:tcPr>
            <w:tcW w:type="dxa" w:w="2850"/>
            <w:vAlign w:val="center"/>
          </w:tcPr>
          <w:p>
            <w:pPr>
              <w:spacing w:before="0" w:after="0" w:line="252" w:lineRule="auto"/>
            </w:pPr>
            <w:r/>
            <w:r>
              <w:rPr>
                <w:rFonts w:ascii="Calibri" w:hAnsi="Calibri" w:eastAsia="Calibri"/>
                <w:b/>
                <w:sz w:val="15"/>
              </w:rPr>
              <w:t>Public claims about partner universities may overstate guarantees.</w:t>
            </w:r>
          </w:p>
        </w:tc>
        <w:tc>
          <w:tcPr>
            <w:tcW w:type="dxa" w:w="850"/>
            <w:vAlign w:val="center"/>
          </w:tcPr>
          <w:p>
            <w:pPr>
              <w:spacing w:before="0" w:after="0" w:line="252" w:lineRule="auto"/>
            </w:pPr>
            <w:r/>
            <w:r>
              <w:rPr>
                <w:rFonts w:ascii="Calibri" w:hAnsi="Calibri" w:eastAsia="Calibri"/>
                <w:b w:val="0"/>
                <w:sz w:val="15"/>
              </w:rPr>
              <w:t>High</w:t>
            </w:r>
          </w:p>
        </w:tc>
        <w:tc>
          <w:tcPr>
            <w:tcW w:type="dxa" w:w="900"/>
            <w:vAlign w:val="center"/>
          </w:tcPr>
          <w:p>
            <w:pPr>
              <w:spacing w:before="0" w:after="0" w:line="252" w:lineRule="auto"/>
            </w:pPr>
            <w:r/>
            <w:r>
              <w:rPr>
                <w:rFonts w:ascii="Calibri" w:hAnsi="Calibri" w:eastAsia="Calibri"/>
                <w:b w:val="0"/>
                <w:sz w:val="15"/>
              </w:rPr>
              <w:t>Medium</w:t>
            </w:r>
          </w:p>
        </w:tc>
        <w:tc>
          <w:tcPr>
            <w:tcW w:type="dxa" w:w="1550"/>
            <w:vAlign w:val="center"/>
          </w:tcPr>
          <w:p>
            <w:pPr>
              <w:spacing w:before="0" w:after="0" w:line="252" w:lineRule="auto"/>
            </w:pPr>
            <w:r/>
            <w:r>
              <w:rPr>
                <w:rFonts w:ascii="Calibri" w:hAnsi="Calibri" w:eastAsia="Calibri"/>
                <w:b w:val="0"/>
                <w:sz w:val="15"/>
              </w:rPr>
              <w:t>Recruitment / legal</w:t>
            </w:r>
          </w:p>
        </w:tc>
        <w:tc>
          <w:tcPr>
            <w:tcW w:type="dxa" w:w="3210"/>
            <w:vAlign w:val="center"/>
          </w:tcPr>
          <w:p>
            <w:pPr>
              <w:spacing w:before="0" w:after="0" w:line="252" w:lineRule="auto"/>
            </w:pPr>
            <w:r/>
            <w:r>
              <w:rPr>
                <w:rFonts w:ascii="Calibri" w:hAnsi="Calibri" w:eastAsia="Calibri"/>
                <w:b w:val="0"/>
                <w:sz w:val="15"/>
              </w:rPr>
              <w:t>Verify every partner/pathway claim and mark as pending until confirmed. Create claim-review checklist.</w:t>
            </w:r>
          </w:p>
        </w:tc>
      </w:tr>
    </w:tbl>
    <w:p>
      <w:pPr>
        <w:spacing w:before="0" w:after="160" w:line="264" w:lineRule="auto"/>
      </w:pPr>
    </w:p>
    <w:p>
      <w:bookmarkStart w:id="9" w:name="toc_questions"/>
      <w:pPr>
        <w:pStyle w:val="Heading1"/>
        <w:spacing w:before="320" w:after="160" w:line="264" w:lineRule="auto"/>
      </w:pPr>
      <w:r>
        <w:rPr>
          <w:rFonts w:ascii="Calibri" w:hAnsi="Calibri" w:eastAsia="Calibri"/>
          <w:b/>
          <w:color w:val="2E74B5"/>
          <w:sz w:val="32"/>
        </w:rPr>
        <w:t>Open Questions</w:t>
      </w:r>
      <w:bookmarkEnd w:id="9"/>
    </w:p>
    <w:p>
      <w:pPr>
        <w:pStyle w:val="Heading2"/>
        <w:spacing w:before="240" w:after="120" w:line="264" w:lineRule="auto"/>
      </w:pPr>
      <w:r>
        <w:rPr>
          <w:rFonts w:ascii="Calibri" w:hAnsi="Calibri" w:eastAsia="Calibri"/>
          <w:b/>
          <w:color w:val="2E74B5"/>
          <w:sz w:val="26"/>
        </w:rPr>
        <w:t>CGU Academic Affairs</w:t>
      </w:r>
    </w:p>
    <w:p>
      <w:pPr>
        <w:pStyle w:val="ListBullet"/>
        <w:spacing w:before="0" w:after="80" w:line="264" w:lineRule="auto"/>
      </w:pPr>
      <w:r>
        <w:rPr>
          <w:rFonts w:ascii="Calibri" w:hAnsi="Calibri" w:eastAsia="Calibri"/>
          <w:sz w:val="22"/>
        </w:rPr>
        <w:t>Is the CGU degree requirement measured by credits, elapsed time, residency, or a combination?</w:t>
      </w:r>
    </w:p>
    <w:p>
      <w:pPr>
        <w:pStyle w:val="ListBullet"/>
        <w:spacing w:before="0" w:after="80" w:line="264" w:lineRule="auto"/>
      </w:pPr>
      <w:r>
        <w:rPr>
          <w:rFonts w:ascii="Calibri" w:hAnsi="Calibri" w:eastAsia="Calibri"/>
          <w:sz w:val="22"/>
        </w:rPr>
        <w:t>Can SIM contact hours be mapped into CGU credits or micro-courses?</w:t>
      </w:r>
    </w:p>
    <w:p>
      <w:pPr>
        <w:pStyle w:val="ListBullet"/>
        <w:spacing w:before="0" w:after="80" w:line="264" w:lineRule="auto"/>
      </w:pPr>
      <w:r>
        <w:rPr>
          <w:rFonts w:ascii="Calibri" w:hAnsi="Calibri" w:eastAsia="Calibri"/>
          <w:sz w:val="22"/>
        </w:rPr>
        <w:t>Can SIM modules be embedded into required-course objectives or handled through course exemption?</w:t>
      </w:r>
    </w:p>
    <w:p>
      <w:pPr>
        <w:pStyle w:val="ListBullet"/>
        <w:spacing w:before="0" w:after="80" w:line="264" w:lineRule="auto"/>
      </w:pPr>
      <w:r>
        <w:rPr>
          <w:rFonts w:ascii="Calibri" w:hAnsi="Calibri" w:eastAsia="Calibri"/>
          <w:sz w:val="22"/>
        </w:rPr>
        <w:t>What student status applies when a student leaves for SIM Singapore?</w:t>
      </w:r>
    </w:p>
    <w:p>
      <w:pPr>
        <w:pStyle w:val="Heading2"/>
        <w:spacing w:before="240" w:after="120" w:line="264" w:lineRule="auto"/>
      </w:pPr>
      <w:r>
        <w:rPr>
          <w:rFonts w:ascii="Calibri" w:hAnsi="Calibri" w:eastAsia="Calibri"/>
          <w:b/>
          <w:color w:val="2E74B5"/>
          <w:sz w:val="26"/>
        </w:rPr>
        <w:t>Admissions / MOE compliance</w:t>
      </w:r>
    </w:p>
    <w:p>
      <w:pPr>
        <w:pStyle w:val="ListBullet"/>
        <w:spacing w:before="0" w:after="80" w:line="264" w:lineRule="auto"/>
      </w:pPr>
      <w:r>
        <w:rPr>
          <w:rFonts w:ascii="Calibri" w:hAnsi="Calibri" w:eastAsia="Calibri"/>
          <w:sz w:val="22"/>
        </w:rPr>
        <w:t>Does the different tuition and parallel recruitment model require an independent admissions application?</w:t>
      </w:r>
    </w:p>
    <w:p>
      <w:pPr>
        <w:pStyle w:val="ListBullet"/>
        <w:spacing w:before="0" w:after="80" w:line="264" w:lineRule="auto"/>
      </w:pPr>
      <w:r>
        <w:rPr>
          <w:rFonts w:ascii="Calibri" w:hAnsi="Calibri" w:eastAsia="Calibri"/>
          <w:sz w:val="22"/>
        </w:rPr>
        <w:t>What MOE approval route is viable for a programme-specific CGU-SIM cohort?</w:t>
      </w:r>
    </w:p>
    <w:p>
      <w:pPr>
        <w:pStyle w:val="ListBullet"/>
        <w:spacing w:before="0" w:after="80" w:line="264" w:lineRule="auto"/>
      </w:pPr>
      <w:r>
        <w:rPr>
          <w:rFonts w:ascii="Calibri" w:hAnsi="Calibri" w:eastAsia="Calibri"/>
          <w:sz w:val="22"/>
        </w:rPr>
        <w:t>How should quotas, tuition, student status, SIM offer, and overseas progression be disclosed?</w:t>
      </w:r>
    </w:p>
    <w:p>
      <w:pPr>
        <w:pStyle w:val="ListBullet"/>
        <w:spacing w:before="0" w:after="80" w:line="264" w:lineRule="auto"/>
      </w:pPr>
      <w:r>
        <w:rPr>
          <w:rFonts w:ascii="Calibri" w:hAnsi="Calibri" w:eastAsia="Calibri"/>
          <w:sz w:val="22"/>
        </w:rPr>
        <w:t>What happens to the SIM application work if MOE declines the admissions proposal?</w:t>
      </w:r>
    </w:p>
    <w:p>
      <w:pPr>
        <w:pStyle w:val="Heading2"/>
        <w:spacing w:before="240" w:after="120" w:line="264" w:lineRule="auto"/>
      </w:pPr>
      <w:r>
        <w:rPr>
          <w:rFonts w:ascii="Calibri" w:hAnsi="Calibri" w:eastAsia="Calibri"/>
          <w:b/>
          <w:color w:val="2E74B5"/>
          <w:sz w:val="26"/>
        </w:rPr>
        <w:t>CGU Legal</w:t>
      </w:r>
    </w:p>
    <w:p>
      <w:pPr>
        <w:pStyle w:val="ListBullet"/>
        <w:spacing w:before="0" w:after="80" w:line="264" w:lineRule="auto"/>
      </w:pPr>
      <w:r>
        <w:rPr>
          <w:rFonts w:ascii="Calibri" w:hAnsi="Calibri" w:eastAsia="Calibri"/>
          <w:sz w:val="22"/>
        </w:rPr>
        <w:t>Is Singapore governing law and exclusive jurisdiction acceptable?</w:t>
      </w:r>
    </w:p>
    <w:p>
      <w:pPr>
        <w:pStyle w:val="ListBullet"/>
        <w:spacing w:before="0" w:after="80" w:line="264" w:lineRule="auto"/>
      </w:pPr>
      <w:r>
        <w:rPr>
          <w:rFonts w:ascii="Calibri" w:hAnsi="Calibri" w:eastAsia="Calibri"/>
          <w:sz w:val="22"/>
        </w:rPr>
        <w:t>Who can sign the NDA and later formal agreement?</w:t>
      </w:r>
    </w:p>
    <w:p>
      <w:pPr>
        <w:pStyle w:val="ListBullet"/>
        <w:spacing w:before="0" w:after="80" w:line="264" w:lineRule="auto"/>
      </w:pPr>
      <w:r>
        <w:rPr>
          <w:rFonts w:ascii="Calibri" w:hAnsi="Calibri" w:eastAsia="Calibri"/>
          <w:sz w:val="22"/>
        </w:rPr>
        <w:t>What internal confidentiality controls are needed?</w:t>
      </w:r>
    </w:p>
    <w:p>
      <w:pPr>
        <w:pStyle w:val="ListBullet"/>
        <w:spacing w:before="0" w:after="80" w:line="264" w:lineRule="auto"/>
      </w:pPr>
      <w:r>
        <w:rPr>
          <w:rFonts w:ascii="Calibri" w:hAnsi="Calibri" w:eastAsia="Calibri"/>
          <w:sz w:val="22"/>
        </w:rPr>
        <w:t>What no-publicity language is required before recruitment materials are drafted?</w:t>
      </w:r>
    </w:p>
    <w:p>
      <w:pPr>
        <w:pStyle w:val="Heading2"/>
        <w:spacing w:before="240" w:after="120" w:line="264" w:lineRule="auto"/>
      </w:pPr>
      <w:r>
        <w:rPr>
          <w:rFonts w:ascii="Calibri" w:hAnsi="Calibri" w:eastAsia="Calibri"/>
          <w:b/>
          <w:color w:val="2E74B5"/>
          <w:sz w:val="26"/>
        </w:rPr>
        <w:t>SIM / Jessy</w:t>
      </w:r>
    </w:p>
    <w:p>
      <w:pPr>
        <w:pStyle w:val="ListBullet"/>
        <w:spacing w:before="0" w:after="80" w:line="264" w:lineRule="auto"/>
      </w:pPr>
      <w:r>
        <w:rPr>
          <w:rFonts w:ascii="Calibri" w:hAnsi="Calibri" w:eastAsia="Calibri"/>
          <w:sz w:val="22"/>
        </w:rPr>
        <w:t>Which DMS module sequence should CGU use?</w:t>
      </w:r>
    </w:p>
    <w:p>
      <w:pPr>
        <w:pStyle w:val="ListBullet"/>
        <w:spacing w:before="0" w:after="80" w:line="264" w:lineRule="auto"/>
      </w:pPr>
      <w:r>
        <w:rPr>
          <w:rFonts w:ascii="Calibri" w:hAnsi="Calibri" w:eastAsia="Calibri"/>
          <w:sz w:val="22"/>
        </w:rPr>
        <w:t>Which 6 or 9 modules are eligible for CGU delivery?</w:t>
      </w:r>
    </w:p>
    <w:p>
      <w:pPr>
        <w:pStyle w:val="ListBullet"/>
        <w:spacing w:before="0" w:after="80" w:line="264" w:lineRule="auto"/>
      </w:pPr>
      <w:r>
        <w:rPr>
          <w:rFonts w:ascii="Calibri" w:hAnsi="Calibri" w:eastAsia="Calibri"/>
          <w:sz w:val="22"/>
        </w:rPr>
        <w:t>What is the exact split of SIM vs OTC hours for exam and non-exam modules?</w:t>
      </w:r>
    </w:p>
    <w:p>
      <w:pPr>
        <w:pStyle w:val="ListBullet"/>
        <w:spacing w:before="0" w:after="80" w:line="264" w:lineRule="auto"/>
      </w:pPr>
      <w:r>
        <w:rPr>
          <w:rFonts w:ascii="Calibri" w:hAnsi="Calibri" w:eastAsia="Calibri"/>
          <w:sz w:val="22"/>
        </w:rPr>
        <w:t>How flexible are synchronous online sessions for a Taiwan cohort?</w:t>
      </w:r>
    </w:p>
    <w:p>
      <w:pPr>
        <w:pStyle w:val="ListBullet"/>
        <w:spacing w:before="0" w:after="80" w:line="264" w:lineRule="auto"/>
      </w:pPr>
      <w:r>
        <w:rPr>
          <w:rFonts w:ascii="Calibri" w:hAnsi="Calibri" w:eastAsia="Calibri"/>
          <w:sz w:val="22"/>
        </w:rPr>
        <w:t>Who marks exams, and must scripts be returned to Singapore?</w:t>
      </w:r>
    </w:p>
    <w:p>
      <w:pPr>
        <w:pStyle w:val="ListBullet"/>
        <w:spacing w:before="0" w:after="80" w:line="264" w:lineRule="auto"/>
      </w:pPr>
      <w:r>
        <w:rPr>
          <w:rFonts w:ascii="Calibri" w:hAnsi="Calibri" w:eastAsia="Calibri"/>
          <w:sz w:val="22"/>
        </w:rPr>
        <w:t>What are the fee and revenue-share terms?</w:t>
      </w:r>
    </w:p>
    <w:p>
      <w:pPr>
        <w:pStyle w:val="ListBullet"/>
        <w:spacing w:before="0" w:after="80" w:line="264" w:lineRule="auto"/>
      </w:pPr>
      <w:r>
        <w:rPr>
          <w:rFonts w:ascii="Calibri" w:hAnsi="Calibri" w:eastAsia="Calibri"/>
          <w:sz w:val="22"/>
        </w:rPr>
        <w:t>What is the minimum cohort size for accreditation?</w:t>
      </w:r>
    </w:p>
    <w:p>
      <w:pPr>
        <w:pStyle w:val="ListBullet"/>
        <w:spacing w:before="0" w:after="80" w:line="264" w:lineRule="auto"/>
      </w:pPr>
      <w:r>
        <w:rPr>
          <w:rFonts w:ascii="Calibri" w:hAnsi="Calibri" w:eastAsia="Calibri"/>
          <w:sz w:val="22"/>
        </w:rPr>
        <w:t>What written permission is needed for recruitment materials?</w:t>
      </w:r>
    </w:p>
    <w:p>
      <w:pPr>
        <w:pStyle w:val="Heading2"/>
        <w:spacing w:before="240" w:after="120" w:line="264" w:lineRule="auto"/>
      </w:pPr>
      <w:r>
        <w:rPr>
          <w:rFonts w:ascii="Calibri" w:hAnsi="Calibri" w:eastAsia="Calibri"/>
          <w:b/>
          <w:color w:val="2E74B5"/>
          <w:sz w:val="26"/>
        </w:rPr>
        <w:t>College leadership</w:t>
      </w:r>
    </w:p>
    <w:p>
      <w:pPr>
        <w:pStyle w:val="ListBullet"/>
        <w:spacing w:before="0" w:after="80" w:line="264" w:lineRule="auto"/>
      </w:pPr>
      <w:r>
        <w:rPr>
          <w:rFonts w:ascii="Calibri" w:hAnsi="Calibri" w:eastAsia="Calibri"/>
          <w:sz w:val="22"/>
        </w:rPr>
        <w:t>Is DMS the initial target, or should DAC, DBF, DIB, DIT, or GDBA be considered later?</w:t>
      </w:r>
    </w:p>
    <w:p>
      <w:pPr>
        <w:pStyle w:val="ListBullet"/>
        <w:spacing w:before="0" w:after="80" w:line="264" w:lineRule="auto"/>
      </w:pPr>
      <w:r>
        <w:rPr>
          <w:rFonts w:ascii="Calibri" w:hAnsi="Calibri" w:eastAsia="Calibri"/>
          <w:sz w:val="22"/>
        </w:rPr>
        <w:t>Which departments can provide qualified English-medium faculty?</w:t>
      </w:r>
    </w:p>
    <w:p>
      <w:pPr>
        <w:pStyle w:val="ListBullet"/>
        <w:spacing w:before="0" w:after="80" w:line="264" w:lineRule="auto"/>
      </w:pPr>
      <w:r>
        <w:rPr>
          <w:rFonts w:ascii="Calibri" w:hAnsi="Calibri" w:eastAsia="Calibri"/>
          <w:sz w:val="22"/>
        </w:rPr>
        <w:t>What level of recruitment and retention tradeoff is acceptable?</w:t>
      </w:r>
    </w:p>
    <w:p>
      <w:bookmarkStart w:id="10" w:name="toc_agenda"/>
      <w:pPr>
        <w:pStyle w:val="Heading1"/>
        <w:spacing w:before="320" w:after="160" w:line="264" w:lineRule="auto"/>
      </w:pPr>
      <w:r>
        <w:rPr>
          <w:rFonts w:ascii="Calibri" w:hAnsi="Calibri" w:eastAsia="Calibri"/>
          <w:b/>
          <w:color w:val="2E74B5"/>
          <w:sz w:val="32"/>
        </w:rPr>
        <w:t>Decision Agenda</w:t>
      </w:r>
      <w:bookmarkEnd w:id="10"/>
    </w:p>
    <w:p>
      <w:pPr>
        <w:pStyle w:val="Heading2"/>
        <w:spacing w:before="240" w:after="120" w:line="264" w:lineRule="auto"/>
      </w:pPr>
      <w:r>
        <w:rPr>
          <w:rFonts w:ascii="Calibri" w:hAnsi="Calibri" w:eastAsia="Calibri"/>
          <w:b/>
          <w:color w:val="2E74B5"/>
          <w:sz w:val="26"/>
        </w:rPr>
        <w:t>Approve now</w:t>
      </w:r>
    </w:p>
    <w:p>
      <w:pPr>
        <w:pStyle w:val="ListBullet"/>
        <w:spacing w:before="0" w:after="80" w:line="264" w:lineRule="auto"/>
      </w:pPr>
      <w:r>
        <w:rPr>
          <w:rFonts w:ascii="Calibri" w:hAnsi="Calibri" w:eastAsia="Calibri"/>
          <w:sz w:val="22"/>
        </w:rPr>
        <w:t>Create the CGU-SIM task force.</w:t>
      </w:r>
    </w:p>
    <w:p>
      <w:pPr>
        <w:pStyle w:val="ListBullet"/>
        <w:spacing w:before="0" w:after="80" w:line="264" w:lineRule="auto"/>
      </w:pPr>
      <w:r>
        <w:rPr>
          <w:rFonts w:ascii="Calibri" w:hAnsi="Calibri" w:eastAsia="Calibri"/>
          <w:sz w:val="22"/>
        </w:rPr>
        <w:t>Proceed with legal review of the NDA.</w:t>
      </w:r>
    </w:p>
    <w:p>
      <w:pPr>
        <w:pStyle w:val="ListBullet"/>
        <w:spacing w:before="0" w:after="80" w:line="264" w:lineRule="auto"/>
      </w:pPr>
      <w:r>
        <w:rPr>
          <w:rFonts w:ascii="Calibri" w:hAnsi="Calibri" w:eastAsia="Calibri"/>
          <w:sz w:val="22"/>
        </w:rPr>
        <w:t>Assign authorized signatory owner and proof-of-authority owner.</w:t>
      </w:r>
    </w:p>
    <w:p>
      <w:pPr>
        <w:pStyle w:val="ListBullet"/>
        <w:spacing w:before="0" w:after="80" w:line="264" w:lineRule="auto"/>
      </w:pPr>
      <w:r>
        <w:rPr>
          <w:rFonts w:ascii="Calibri" w:hAnsi="Calibri" w:eastAsia="Calibri"/>
          <w:sz w:val="22"/>
        </w:rPr>
        <w:t>Authorize Academic Affairs consultation on credit, status, and recognition.</w:t>
      </w:r>
    </w:p>
    <w:p>
      <w:pPr>
        <w:pStyle w:val="ListBullet"/>
        <w:spacing w:before="0" w:after="80" w:line="264" w:lineRule="auto"/>
      </w:pPr>
      <w:r>
        <w:rPr>
          <w:rFonts w:ascii="Calibri" w:hAnsi="Calibri" w:eastAsia="Calibri"/>
          <w:sz w:val="22"/>
        </w:rPr>
        <w:t>Authorize admissions/MOE compliance assessment for independent recruitment.</w:t>
      </w:r>
    </w:p>
    <w:p>
      <w:pPr>
        <w:pStyle w:val="ListBullet"/>
        <w:spacing w:before="0" w:after="80" w:line="264" w:lineRule="auto"/>
      </w:pPr>
      <w:r>
        <w:rPr>
          <w:rFonts w:ascii="Calibri" w:hAnsi="Calibri" w:eastAsia="Calibri"/>
          <w:sz w:val="22"/>
        </w:rPr>
        <w:t>Authorize staffing inventory for 6-module and 9-module DMS scenarios.</w:t>
      </w:r>
    </w:p>
    <w:p>
      <w:pPr>
        <w:pStyle w:val="Heading2"/>
        <w:spacing w:before="240" w:after="120" w:line="264" w:lineRule="auto"/>
      </w:pPr>
      <w:r>
        <w:rPr>
          <w:rFonts w:ascii="Calibri" w:hAnsi="Calibri" w:eastAsia="Calibri"/>
          <w:b/>
          <w:color w:val="2E74B5"/>
          <w:sz w:val="26"/>
        </w:rPr>
        <w:t>Defer</w:t>
      </w:r>
    </w:p>
    <w:p>
      <w:pPr>
        <w:pStyle w:val="ListBullet"/>
        <w:spacing w:before="0" w:after="80" w:line="264" w:lineRule="auto"/>
      </w:pPr>
      <w:r>
        <w:rPr>
          <w:rFonts w:ascii="Calibri" w:hAnsi="Calibri" w:eastAsia="Calibri"/>
          <w:sz w:val="22"/>
        </w:rPr>
        <w:t>Public launch language.</w:t>
      </w:r>
    </w:p>
    <w:p>
      <w:pPr>
        <w:pStyle w:val="ListBullet"/>
        <w:spacing w:before="0" w:after="80" w:line="264" w:lineRule="auto"/>
      </w:pPr>
      <w:r>
        <w:rPr>
          <w:rFonts w:ascii="Calibri" w:hAnsi="Calibri" w:eastAsia="Calibri"/>
          <w:sz w:val="22"/>
        </w:rPr>
        <w:t>Dual-degree or CGU-degree marketing claim.</w:t>
      </w:r>
    </w:p>
    <w:p>
      <w:pPr>
        <w:pStyle w:val="ListBullet"/>
        <w:spacing w:before="0" w:after="80" w:line="264" w:lineRule="auto"/>
      </w:pPr>
      <w:r>
        <w:rPr>
          <w:rFonts w:ascii="Calibri" w:hAnsi="Calibri" w:eastAsia="Calibri"/>
          <w:sz w:val="22"/>
        </w:rPr>
        <w:t>Final 6/9-module commitment.</w:t>
      </w:r>
    </w:p>
    <w:p>
      <w:pPr>
        <w:pStyle w:val="ListBullet"/>
        <w:spacing w:before="0" w:after="80" w:line="264" w:lineRule="auto"/>
      </w:pPr>
      <w:r>
        <w:rPr>
          <w:rFonts w:ascii="Calibri" w:hAnsi="Calibri" w:eastAsia="Calibri"/>
          <w:sz w:val="22"/>
        </w:rPr>
        <w:t>Business model approval before Annex fees and terms are known.</w:t>
      </w:r>
    </w:p>
    <w:p>
      <w:pPr>
        <w:pStyle w:val="ListBullet"/>
        <w:spacing w:before="0" w:after="80" w:line="264" w:lineRule="auto"/>
      </w:pPr>
      <w:r>
        <w:rPr>
          <w:rFonts w:ascii="Calibri" w:hAnsi="Calibri" w:eastAsia="Calibri"/>
          <w:sz w:val="22"/>
        </w:rPr>
        <w:t>Student recruitment until SIM and MOE approvals are both cleared.</w:t>
      </w:r>
    </w:p>
    <w:p>
      <w:pPr>
        <w:pStyle w:val="Heading2"/>
        <w:spacing w:before="240" w:after="120" w:line="264" w:lineRule="auto"/>
      </w:pPr>
      <w:r>
        <w:rPr>
          <w:rFonts w:ascii="Calibri" w:hAnsi="Calibri" w:eastAsia="Calibri"/>
          <w:b/>
          <w:color w:val="2E74B5"/>
          <w:sz w:val="26"/>
        </w:rPr>
        <w:t>Verify through task force</w:t>
      </w:r>
    </w:p>
    <w:p>
      <w:pPr>
        <w:pStyle w:val="ListBullet"/>
        <w:spacing w:before="0" w:after="80" w:line="264" w:lineRule="auto"/>
      </w:pPr>
      <w:r>
        <w:rPr>
          <w:rFonts w:ascii="Calibri" w:hAnsi="Calibri" w:eastAsia="Calibri"/>
          <w:sz w:val="22"/>
        </w:rPr>
        <w:t>Exact DMS module order and eligible OTC modules.</w:t>
      </w:r>
    </w:p>
    <w:p>
      <w:pPr>
        <w:pStyle w:val="ListBullet"/>
        <w:spacing w:before="0" w:after="80" w:line="264" w:lineRule="auto"/>
      </w:pPr>
      <w:r>
        <w:rPr>
          <w:rFonts w:ascii="Calibri" w:hAnsi="Calibri" w:eastAsia="Calibri"/>
          <w:sz w:val="22"/>
        </w:rPr>
        <w:t>MOE approval route for independent admissions, tuition, and quota treatment.</w:t>
      </w:r>
    </w:p>
    <w:p>
      <w:pPr>
        <w:pStyle w:val="ListBullet"/>
        <w:spacing w:before="0" w:after="80" w:line="264" w:lineRule="auto"/>
      </w:pPr>
      <w:r>
        <w:rPr>
          <w:rFonts w:ascii="Calibri" w:hAnsi="Calibri" w:eastAsia="Calibri"/>
          <w:sz w:val="22"/>
        </w:rPr>
        <w:t>Exam marking, script custody, and assessment SOP.</w:t>
      </w:r>
    </w:p>
    <w:p>
      <w:pPr>
        <w:pStyle w:val="ListBullet"/>
        <w:spacing w:before="0" w:after="80" w:line="264" w:lineRule="auto"/>
      </w:pPr>
      <w:r>
        <w:rPr>
          <w:rFonts w:ascii="Calibri" w:hAnsi="Calibri" w:eastAsia="Calibri"/>
          <w:sz w:val="22"/>
        </w:rPr>
        <w:t>Scheduling flexibility for SIM synchronous components.</w:t>
      </w:r>
    </w:p>
    <w:p>
      <w:pPr>
        <w:pStyle w:val="ListBullet"/>
        <w:spacing w:before="0" w:after="80" w:line="264" w:lineRule="auto"/>
      </w:pPr>
      <w:r>
        <w:rPr>
          <w:rFonts w:ascii="Calibri" w:hAnsi="Calibri" w:eastAsia="Calibri"/>
          <w:sz w:val="22"/>
        </w:rPr>
        <w:t>Minimum cohort size and accreditation mode.</w:t>
      </w:r>
    </w:p>
    <w:p>
      <w:pPr>
        <w:pStyle w:val="ListBullet"/>
        <w:spacing w:before="0" w:after="80" w:line="264" w:lineRule="auto"/>
      </w:pPr>
      <w:r>
        <w:rPr>
          <w:rFonts w:ascii="Calibri" w:hAnsi="Calibri" w:eastAsia="Calibri"/>
          <w:sz w:val="22"/>
        </w:rPr>
        <w:t>Permission required for recruitment materials.</w:t>
      </w:r>
    </w:p>
    <w:p>
      <w:bookmarkStart w:id="11" w:name="toc_sources"/>
      <w:pPr>
        <w:pStyle w:val="Heading1"/>
        <w:spacing w:before="320" w:after="160" w:line="264" w:lineRule="auto"/>
      </w:pPr>
      <w:r>
        <w:rPr>
          <w:rFonts w:ascii="Calibri" w:hAnsi="Calibri" w:eastAsia="Calibri"/>
          <w:b/>
          <w:color w:val="2E74B5"/>
          <w:sz w:val="32"/>
        </w:rPr>
        <w:t>Source Notes</w:t>
      </w:r>
      <w:bookmarkEnd w:id="11"/>
    </w:p>
    <w:tbl>
      <w:tblPr>
        <w:tblStyle w:val="TableGrid"/>
        <w:tblW w:type="dxa" w:w="9360"/>
        <w:jc w:val="left"/>
        <w:tblLayout w:type="fixed"/>
        <w:tblLook w:firstColumn="1" w:firstRow="1" w:lastColumn="0" w:lastRow="0" w:noHBand="0" w:noVBand="1" w:val="04A0"/>
        <w:tblInd w:w="120" w:type="dxa"/>
      </w:tblPr>
      <w:tblGrid>
        <w:gridCol w:w="3400"/>
        <w:gridCol w:w="1900"/>
        <w:gridCol w:w="1450"/>
        <w:gridCol w:w="2610"/>
      </w:tblGrid>
      <w:tr>
        <w:tc>
          <w:tcPr>
            <w:tcW w:type="dxa" w:w="34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Claim</w:t>
            </w:r>
          </w:p>
        </w:tc>
        <w:tc>
          <w:tcPr>
            <w:tcW w:type="dxa" w:w="190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Source</w:t>
            </w:r>
          </w:p>
        </w:tc>
        <w:tc>
          <w:tcPr>
            <w:tcW w:type="dxa" w:w="145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Status</w:t>
            </w:r>
          </w:p>
        </w:tc>
        <w:tc>
          <w:tcPr>
            <w:tcW w:type="dxa" w:w="2610"/>
            <w:tcMar>
              <w:top w:w="80" w:type="dxa"/>
              <w:bottom w:w="80" w:type="dxa"/>
              <w:start w:w="120" w:type="dxa"/>
              <w:end w:w="120" w:type="dxa"/>
            </w:tcMar>
            <w:shd w:fill="F2F4F7"/>
            <w:vAlign w:val="center"/>
          </w:tcPr>
          <w:p>
            <w:pPr>
              <w:spacing w:before="0" w:after="0" w:line="252" w:lineRule="auto"/>
            </w:pPr>
            <w:r/>
            <w:r>
              <w:rPr>
                <w:rFonts w:ascii="Calibri" w:hAnsi="Calibri" w:eastAsia="Calibri"/>
                <w:b/>
                <w:color w:val="0B2545"/>
                <w:sz w:val="18"/>
              </w:rPr>
              <w:t>Briefing implication</w:t>
            </w:r>
          </w:p>
        </w:tc>
      </w:tr>
      <w:tr>
        <w:tc>
          <w:tcPr>
            <w:tcW w:type="dxa" w:w="3400"/>
            <w:vAlign w:val="center"/>
          </w:tcPr>
          <w:p>
            <w:pPr>
              <w:spacing w:before="0" w:after="0" w:line="252" w:lineRule="auto"/>
            </w:pPr>
            <w:r/>
            <w:r>
              <w:rPr>
                <w:rFonts w:ascii="Calibri" w:hAnsi="Calibri" w:eastAsia="Calibri"/>
                <w:b/>
                <w:sz w:val="16"/>
              </w:rPr>
              <w:t>Students may enter through CGU admissions, register at CGU, and receive an additional SIM offer.</w:t>
            </w:r>
          </w:p>
        </w:tc>
        <w:tc>
          <w:tcPr>
            <w:tcW w:type="dxa" w:w="1900"/>
            <w:vAlign w:val="center"/>
          </w:tcPr>
          <w:p>
            <w:pPr>
              <w:spacing w:before="0" w:after="0" w:line="252" w:lineRule="auto"/>
            </w:pPr>
            <w:r/>
            <w:r>
              <w:rPr>
                <w:rFonts w:ascii="Calibri" w:hAnsi="Calibri" w:eastAsia="Calibri"/>
                <w:b w:val="0"/>
                <w:sz w:val="16"/>
              </w:rPr>
              <w:t>June 9, 2026 CGU-SIM conversation</w:t>
            </w:r>
          </w:p>
        </w:tc>
        <w:tc>
          <w:tcPr>
            <w:tcW w:type="dxa" w:w="1450"/>
            <w:vAlign w:val="center"/>
          </w:tcPr>
          <w:p>
            <w:pPr>
              <w:spacing w:before="0" w:after="0" w:line="252" w:lineRule="auto"/>
            </w:pPr>
            <w:r/>
            <w:r>
              <w:rPr>
                <w:rFonts w:ascii="Calibri" w:hAnsi="Calibri" w:eastAsia="Calibri"/>
                <w:b w:val="0"/>
                <w:sz w:val="16"/>
              </w:rPr>
              <w:t>Confirmed by June 9 conversation</w:t>
            </w:r>
          </w:p>
        </w:tc>
        <w:tc>
          <w:tcPr>
            <w:tcW w:type="dxa" w:w="2610"/>
            <w:vAlign w:val="center"/>
          </w:tcPr>
          <w:p>
            <w:pPr>
              <w:spacing w:before="0" w:after="0" w:line="252" w:lineRule="auto"/>
            </w:pPr>
            <w:r/>
            <w:r>
              <w:rPr>
                <w:rFonts w:ascii="Calibri" w:hAnsi="Calibri" w:eastAsia="Calibri"/>
                <w:b w:val="0"/>
                <w:sz w:val="16"/>
              </w:rPr>
              <w:t>Design advising and status rules before recruitment.</w:t>
            </w:r>
          </w:p>
        </w:tc>
      </w:tr>
      <w:tr>
        <w:tc>
          <w:tcPr>
            <w:tcW w:type="dxa" w:w="3400"/>
            <w:vAlign w:val="center"/>
          </w:tcPr>
          <w:p>
            <w:pPr>
              <w:spacing w:before="0" w:after="0" w:line="252" w:lineRule="auto"/>
            </w:pPr>
            <w:r/>
            <w:r>
              <w:rPr>
                <w:rFonts w:ascii="Calibri" w:hAnsi="Calibri" w:eastAsia="Calibri"/>
                <w:b/>
                <w:sz w:val="16"/>
              </w:rPr>
              <w:t>University admissions rules, including single-school admissions, must be drafted by the university and submitted to Taiwan's MOE for approval before implementation.</w:t>
            </w:r>
          </w:p>
        </w:tc>
        <w:tc>
          <w:tcPr>
            <w:tcW w:type="dxa" w:w="1900"/>
            <w:vAlign w:val="center"/>
          </w:tcPr>
          <w:p>
            <w:pPr>
              <w:spacing w:before="0" w:after="0" w:line="252" w:lineRule="auto"/>
            </w:pPr>
            <w:r/>
            <w:r>
              <w:rPr>
                <w:rFonts w:ascii="Calibri" w:hAnsi="Calibri" w:eastAsia="Calibri"/>
                <w:b w:val="0"/>
                <w:sz w:val="16"/>
              </w:rPr>
              <w:t>Taiwan University Act, Article 24</w:t>
            </w:r>
          </w:p>
        </w:tc>
        <w:tc>
          <w:tcPr>
            <w:tcW w:type="dxa" w:w="1450"/>
            <w:vAlign w:val="center"/>
          </w:tcPr>
          <w:p>
            <w:pPr>
              <w:spacing w:before="0" w:after="0" w:line="252" w:lineRule="auto"/>
            </w:pPr>
            <w:r/>
            <w:r>
              <w:rPr>
                <w:rFonts w:ascii="Calibri" w:hAnsi="Calibri" w:eastAsia="Calibri"/>
                <w:b w:val="0"/>
                <w:sz w:val="16"/>
              </w:rPr>
              <w:t>Confirmed by Taiwan law</w:t>
            </w:r>
          </w:p>
        </w:tc>
        <w:tc>
          <w:tcPr>
            <w:tcW w:type="dxa" w:w="2610"/>
            <w:vAlign w:val="center"/>
          </w:tcPr>
          <w:p>
            <w:pPr>
              <w:spacing w:before="0" w:after="0" w:line="252" w:lineRule="auto"/>
            </w:pPr>
            <w:r/>
            <w:r>
              <w:rPr>
                <w:rFonts w:ascii="Calibri" w:hAnsi="Calibri" w:eastAsia="Calibri"/>
                <w:b w:val="0"/>
                <w:sz w:val="16"/>
              </w:rPr>
              <w:t>A CGU-SIM independent admissions model is a parallel approval track, not an internal scheduling detail.</w:t>
            </w:r>
          </w:p>
        </w:tc>
      </w:tr>
      <w:tr>
        <w:tc>
          <w:tcPr>
            <w:tcW w:type="dxa" w:w="3400"/>
            <w:vAlign w:val="center"/>
          </w:tcPr>
          <w:p>
            <w:pPr>
              <w:spacing w:before="0" w:after="0" w:line="252" w:lineRule="auto"/>
            </w:pPr>
            <w:r/>
            <w:r>
              <w:rPr>
                <w:rFonts w:ascii="Calibri" w:hAnsi="Calibri" w:eastAsia="Calibri"/>
                <w:b/>
                <w:sz w:val="16"/>
              </w:rPr>
              <w:t>CGU degree requires at least half of required credits/time at CGU/Taiwan; exact rule needs confirmation.</w:t>
            </w:r>
          </w:p>
        </w:tc>
        <w:tc>
          <w:tcPr>
            <w:tcW w:type="dxa" w:w="1900"/>
            <w:vAlign w:val="center"/>
          </w:tcPr>
          <w:p>
            <w:pPr>
              <w:spacing w:before="0" w:after="0" w:line="252" w:lineRule="auto"/>
            </w:pPr>
            <w:r/>
            <w:r>
              <w:rPr>
                <w:rFonts w:ascii="Calibri" w:hAnsi="Calibri" w:eastAsia="Calibri"/>
                <w:b w:val="0"/>
                <w:sz w:val="16"/>
              </w:rPr>
              <w:t>June 9, 2026 CGU-SIM conversation</w:t>
            </w:r>
          </w:p>
        </w:tc>
        <w:tc>
          <w:tcPr>
            <w:tcW w:type="dxa" w:w="1450"/>
            <w:vAlign w:val="center"/>
          </w:tcPr>
          <w:p>
            <w:pPr>
              <w:spacing w:before="0" w:after="0" w:line="252" w:lineRule="auto"/>
            </w:pPr>
            <w:r/>
            <w:r>
              <w:rPr>
                <w:rFonts w:ascii="Calibri" w:hAnsi="Calibri" w:eastAsia="Calibri"/>
                <w:b w:val="0"/>
                <w:sz w:val="16"/>
              </w:rPr>
              <w:t>Pending CGU</w:t>
            </w:r>
          </w:p>
        </w:tc>
        <w:tc>
          <w:tcPr>
            <w:tcW w:type="dxa" w:w="2610"/>
            <w:vAlign w:val="center"/>
          </w:tcPr>
          <w:p>
            <w:pPr>
              <w:spacing w:before="0" w:after="0" w:line="252" w:lineRule="auto"/>
            </w:pPr>
            <w:r/>
            <w:r>
              <w:rPr>
                <w:rFonts w:ascii="Calibri" w:hAnsi="Calibri" w:eastAsia="Calibri"/>
                <w:b w:val="0"/>
                <w:sz w:val="16"/>
              </w:rPr>
              <w:t>Do not present the collaboration as a confirmed dual-degree model.</w:t>
            </w:r>
          </w:p>
        </w:tc>
      </w:tr>
      <w:tr>
        <w:tc>
          <w:tcPr>
            <w:tcW w:type="dxa" w:w="3400"/>
            <w:vAlign w:val="center"/>
          </w:tcPr>
          <w:p>
            <w:pPr>
              <w:spacing w:before="0" w:after="0" w:line="252" w:lineRule="auto"/>
            </w:pPr>
            <w:r/>
            <w:r>
              <w:rPr>
                <w:rFonts w:ascii="Calibri" w:hAnsi="Calibri" w:eastAsia="Calibri"/>
                <w:b/>
                <w:sz w:val="16"/>
              </w:rPr>
              <w:t>DMS has 15 modules, 42 contact hours each, totaling 630 hours.</w:t>
            </w:r>
          </w:p>
        </w:tc>
        <w:tc>
          <w:tcPr>
            <w:tcW w:type="dxa" w:w="1900"/>
            <w:vAlign w:val="center"/>
          </w:tcPr>
          <w:p>
            <w:pPr>
              <w:spacing w:before="0" w:after="0" w:line="252" w:lineRule="auto"/>
            </w:pPr>
            <w:r/>
            <w:r>
              <w:rPr>
                <w:rFonts w:ascii="Calibri" w:hAnsi="Calibri" w:eastAsia="Calibri"/>
                <w:b w:val="0"/>
                <w:sz w:val="16"/>
              </w:rPr>
              <w:t>Course info_Diploma in Management Studies.pdf</w:t>
            </w:r>
          </w:p>
        </w:tc>
        <w:tc>
          <w:tcPr>
            <w:tcW w:type="dxa" w:w="1450"/>
            <w:vAlign w:val="center"/>
          </w:tcPr>
          <w:p>
            <w:pPr>
              <w:spacing w:before="0" w:after="0" w:line="252" w:lineRule="auto"/>
            </w:pPr>
            <w:r/>
            <w:r>
              <w:rPr>
                <w:rFonts w:ascii="Calibri" w:hAnsi="Calibri" w:eastAsia="Calibri"/>
                <w:b w:val="0"/>
                <w:sz w:val="16"/>
              </w:rPr>
              <w:t>Confirmed by SIM document</w:t>
            </w:r>
          </w:p>
        </w:tc>
        <w:tc>
          <w:tcPr>
            <w:tcW w:type="dxa" w:w="2610"/>
            <w:vAlign w:val="center"/>
          </w:tcPr>
          <w:p>
            <w:pPr>
              <w:spacing w:before="0" w:after="0" w:line="252" w:lineRule="auto"/>
            </w:pPr>
            <w:r/>
            <w:r>
              <w:rPr>
                <w:rFonts w:ascii="Calibri" w:hAnsi="Calibri" w:eastAsia="Calibri"/>
                <w:b w:val="0"/>
                <w:sz w:val="16"/>
              </w:rPr>
              <w:t>Use DMS as first academic mapping target.</w:t>
            </w:r>
          </w:p>
        </w:tc>
      </w:tr>
      <w:tr>
        <w:tc>
          <w:tcPr>
            <w:tcW w:type="dxa" w:w="3400"/>
            <w:vAlign w:val="center"/>
          </w:tcPr>
          <w:p>
            <w:pPr>
              <w:spacing w:before="0" w:after="0" w:line="252" w:lineRule="auto"/>
            </w:pPr>
            <w:r/>
            <w:r>
              <w:rPr>
                <w:rFonts w:ascii="Calibri" w:hAnsi="Calibri" w:eastAsia="Calibri"/>
                <w:b/>
                <w:sz w:val="16"/>
              </w:rPr>
              <w:t>SIM OTC approval involves application review, onsite audit, teaching staff review, final decision, agreement within 180 days, post-cohort accreditation, and annual review.</w:t>
            </w:r>
          </w:p>
        </w:tc>
        <w:tc>
          <w:tcPr>
            <w:tcW w:type="dxa" w:w="1900"/>
            <w:vAlign w:val="center"/>
          </w:tcPr>
          <w:p>
            <w:pPr>
              <w:spacing w:before="0" w:after="0" w:line="252" w:lineRule="auto"/>
            </w:pPr>
            <w:r/>
            <w:r>
              <w:rPr>
                <w:rFonts w:ascii="Calibri" w:hAnsi="Calibri" w:eastAsia="Calibri"/>
                <w:b w:val="0"/>
                <w:sz w:val="16"/>
              </w:rPr>
              <w:t>Diploma_Business OTC Application Guide_11Sep2025.docx</w:t>
            </w:r>
          </w:p>
        </w:tc>
        <w:tc>
          <w:tcPr>
            <w:tcW w:type="dxa" w:w="1450"/>
            <w:vAlign w:val="center"/>
          </w:tcPr>
          <w:p>
            <w:pPr>
              <w:spacing w:before="0" w:after="0" w:line="252" w:lineRule="auto"/>
            </w:pPr>
            <w:r/>
            <w:r>
              <w:rPr>
                <w:rFonts w:ascii="Calibri" w:hAnsi="Calibri" w:eastAsia="Calibri"/>
                <w:b w:val="0"/>
                <w:sz w:val="16"/>
              </w:rPr>
              <w:t>Confirmed by SIM document</w:t>
            </w:r>
          </w:p>
        </w:tc>
        <w:tc>
          <w:tcPr>
            <w:tcW w:type="dxa" w:w="2610"/>
            <w:vAlign w:val="center"/>
          </w:tcPr>
          <w:p>
            <w:pPr>
              <w:spacing w:before="0" w:after="0" w:line="252" w:lineRule="auto"/>
            </w:pPr>
            <w:r/>
            <w:r>
              <w:rPr>
                <w:rFonts w:ascii="Calibri" w:hAnsi="Calibri" w:eastAsia="Calibri"/>
                <w:b w:val="0"/>
                <w:sz w:val="16"/>
              </w:rPr>
              <w:t>Sequence the project as a multi-gate application.</w:t>
            </w:r>
          </w:p>
        </w:tc>
      </w:tr>
      <w:tr>
        <w:tc>
          <w:tcPr>
            <w:tcW w:type="dxa" w:w="3400"/>
            <w:vAlign w:val="center"/>
          </w:tcPr>
          <w:p>
            <w:pPr>
              <w:spacing w:before="0" w:after="0" w:line="252" w:lineRule="auto"/>
            </w:pPr>
            <w:r/>
            <w:r>
              <w:rPr>
                <w:rFonts w:ascii="Calibri" w:hAnsi="Calibri" w:eastAsia="Calibri"/>
                <w:b/>
                <w:sz w:val="16"/>
              </w:rPr>
              <w:t>The Application Form includes DMS 6-module and 9-module options and Appendix A blended delivery hours.</w:t>
            </w:r>
          </w:p>
        </w:tc>
        <w:tc>
          <w:tcPr>
            <w:tcW w:type="dxa" w:w="1900"/>
            <w:vAlign w:val="center"/>
          </w:tcPr>
          <w:p>
            <w:pPr>
              <w:spacing w:before="0" w:after="0" w:line="252" w:lineRule="auto"/>
            </w:pPr>
            <w:r/>
            <w:r>
              <w:rPr>
                <w:rFonts w:ascii="Calibri" w:hAnsi="Calibri" w:eastAsia="Calibri"/>
                <w:b w:val="0"/>
                <w:sz w:val="16"/>
              </w:rPr>
              <w:t>Application Form_10Nov25.docx</w:t>
            </w:r>
          </w:p>
        </w:tc>
        <w:tc>
          <w:tcPr>
            <w:tcW w:type="dxa" w:w="1450"/>
            <w:vAlign w:val="center"/>
          </w:tcPr>
          <w:p>
            <w:pPr>
              <w:spacing w:before="0" w:after="0" w:line="252" w:lineRule="auto"/>
            </w:pPr>
            <w:r/>
            <w:r>
              <w:rPr>
                <w:rFonts w:ascii="Calibri" w:hAnsi="Calibri" w:eastAsia="Calibri"/>
                <w:b w:val="0"/>
                <w:sz w:val="16"/>
              </w:rPr>
              <w:t>Confirmed by SIM document</w:t>
            </w:r>
          </w:p>
        </w:tc>
        <w:tc>
          <w:tcPr>
            <w:tcW w:type="dxa" w:w="2610"/>
            <w:vAlign w:val="center"/>
          </w:tcPr>
          <w:p>
            <w:pPr>
              <w:spacing w:before="0" w:after="0" w:line="252" w:lineRule="auto"/>
            </w:pPr>
            <w:r/>
            <w:r>
              <w:rPr>
                <w:rFonts w:ascii="Calibri" w:hAnsi="Calibri" w:eastAsia="Calibri"/>
                <w:b w:val="0"/>
                <w:sz w:val="16"/>
              </w:rPr>
              <w:t>Compare 6-module and 9-module scenarios before scope decision.</w:t>
            </w:r>
          </w:p>
        </w:tc>
      </w:tr>
      <w:tr>
        <w:tc>
          <w:tcPr>
            <w:tcW w:type="dxa" w:w="3400"/>
            <w:vAlign w:val="center"/>
          </w:tcPr>
          <w:p>
            <w:pPr>
              <w:spacing w:before="0" w:after="0" w:line="252" w:lineRule="auto"/>
            </w:pPr>
            <w:r/>
            <w:r>
              <w:rPr>
                <w:rFonts w:ascii="Calibri" w:hAnsi="Calibri" w:eastAsia="Calibri"/>
                <w:b/>
                <w:sz w:val="16"/>
              </w:rPr>
              <w:t>Teaching profile workbook limits each teacher to two modules and requires certificates/transcripts.</w:t>
            </w:r>
          </w:p>
        </w:tc>
        <w:tc>
          <w:tcPr>
            <w:tcW w:type="dxa" w:w="1900"/>
            <w:vAlign w:val="center"/>
          </w:tcPr>
          <w:p>
            <w:pPr>
              <w:spacing w:before="0" w:after="0" w:line="252" w:lineRule="auto"/>
            </w:pPr>
            <w:r/>
            <w:r>
              <w:rPr>
                <w:rFonts w:ascii="Calibri" w:hAnsi="Calibri" w:eastAsia="Calibri"/>
                <w:b w:val="0"/>
                <w:sz w:val="16"/>
              </w:rPr>
              <w:t>Academic Staff Teaching Profile Form- 10162025.xlsx</w:t>
            </w:r>
          </w:p>
        </w:tc>
        <w:tc>
          <w:tcPr>
            <w:tcW w:type="dxa" w:w="1450"/>
            <w:vAlign w:val="center"/>
          </w:tcPr>
          <w:p>
            <w:pPr>
              <w:spacing w:before="0" w:after="0" w:line="252" w:lineRule="auto"/>
            </w:pPr>
            <w:r/>
            <w:r>
              <w:rPr>
                <w:rFonts w:ascii="Calibri" w:hAnsi="Calibri" w:eastAsia="Calibri"/>
                <w:b w:val="0"/>
                <w:sz w:val="16"/>
              </w:rPr>
              <w:t>Confirmed by SIM document</w:t>
            </w:r>
          </w:p>
        </w:tc>
        <w:tc>
          <w:tcPr>
            <w:tcW w:type="dxa" w:w="2610"/>
            <w:vAlign w:val="center"/>
          </w:tcPr>
          <w:p>
            <w:pPr>
              <w:spacing w:before="0" w:after="0" w:line="252" w:lineRule="auto"/>
            </w:pPr>
            <w:r/>
            <w:r>
              <w:rPr>
                <w:rFonts w:ascii="Calibri" w:hAnsi="Calibri" w:eastAsia="Calibri"/>
                <w:b w:val="0"/>
                <w:sz w:val="16"/>
              </w:rPr>
              <w:t>Faculty evidence is a critical bottleneck.</w:t>
            </w:r>
          </w:p>
        </w:tc>
      </w:tr>
      <w:tr>
        <w:tc>
          <w:tcPr>
            <w:tcW w:type="dxa" w:w="3400"/>
            <w:vAlign w:val="center"/>
          </w:tcPr>
          <w:p>
            <w:pPr>
              <w:spacing w:before="0" w:after="0" w:line="252" w:lineRule="auto"/>
            </w:pPr>
            <w:r/>
            <w:r>
              <w:rPr>
                <w:rFonts w:ascii="Calibri" w:hAnsi="Calibri" w:eastAsia="Calibri"/>
                <w:b/>
                <w:sz w:val="16"/>
              </w:rPr>
              <w:t>NDA imposes no-publicity, PDPA, Singapore law, and seven-year confidentiality obligations.</w:t>
            </w:r>
          </w:p>
        </w:tc>
        <w:tc>
          <w:tcPr>
            <w:tcW w:type="dxa" w:w="1900"/>
            <w:vAlign w:val="center"/>
          </w:tcPr>
          <w:p>
            <w:pPr>
              <w:spacing w:before="0" w:after="0" w:line="252" w:lineRule="auto"/>
            </w:pPr>
            <w:r/>
            <w:r>
              <w:rPr>
                <w:rFonts w:ascii="Calibri" w:hAnsi="Calibri" w:eastAsia="Calibri"/>
                <w:b w:val="0"/>
                <w:sz w:val="16"/>
              </w:rPr>
              <w:t>NDA template</w:t>
            </w:r>
          </w:p>
        </w:tc>
        <w:tc>
          <w:tcPr>
            <w:tcW w:type="dxa" w:w="1450"/>
            <w:vAlign w:val="center"/>
          </w:tcPr>
          <w:p>
            <w:pPr>
              <w:spacing w:before="0" w:after="0" w:line="252" w:lineRule="auto"/>
            </w:pPr>
            <w:r/>
            <w:r>
              <w:rPr>
                <w:rFonts w:ascii="Calibri" w:hAnsi="Calibri" w:eastAsia="Calibri"/>
                <w:b w:val="0"/>
                <w:sz w:val="16"/>
              </w:rPr>
              <w:t>Confirmed by SIM document</w:t>
            </w:r>
          </w:p>
        </w:tc>
        <w:tc>
          <w:tcPr>
            <w:tcW w:type="dxa" w:w="2610"/>
            <w:vAlign w:val="center"/>
          </w:tcPr>
          <w:p>
            <w:pPr>
              <w:spacing w:before="0" w:after="0" w:line="252" w:lineRule="auto"/>
            </w:pPr>
            <w:r/>
            <w:r>
              <w:rPr>
                <w:rFonts w:ascii="Calibri" w:hAnsi="Calibri" w:eastAsia="Calibri"/>
                <w:b w:val="0"/>
                <w:sz w:val="16"/>
              </w:rPr>
              <w:t>Legal review and internal confidentiality controls are immediate gates.</w:t>
            </w:r>
          </w:p>
        </w:tc>
      </w:tr>
      <w:tr>
        <w:tc>
          <w:tcPr>
            <w:tcW w:type="dxa" w:w="3400"/>
            <w:vAlign w:val="center"/>
          </w:tcPr>
          <w:p>
            <w:pPr>
              <w:spacing w:before="0" w:after="0" w:line="252" w:lineRule="auto"/>
            </w:pPr>
            <w:r/>
            <w:r>
              <w:rPr>
                <w:rFonts w:ascii="Calibri" w:hAnsi="Calibri" w:eastAsia="Calibri"/>
                <w:b/>
                <w:sz w:val="16"/>
              </w:rPr>
              <w:t>If either SIM OTC approval or Taiwan MOE admissions permission fails, the student-recruitment collaboration cannot proceed as designed.</w:t>
            </w:r>
          </w:p>
        </w:tc>
        <w:tc>
          <w:tcPr>
            <w:tcW w:type="dxa" w:w="1900"/>
            <w:vAlign w:val="center"/>
          </w:tcPr>
          <w:p>
            <w:pPr>
              <w:spacing w:before="0" w:after="0" w:line="252" w:lineRule="auto"/>
            </w:pPr>
            <w:r/>
            <w:r>
              <w:rPr>
                <w:rFonts w:ascii="Calibri" w:hAnsi="Calibri" w:eastAsia="Calibri"/>
                <w:b w:val="0"/>
                <w:sz w:val="16"/>
              </w:rPr>
              <w:t>Synthesis of SIM OTC Guide and Taiwan University Act Article 24</w:t>
            </w:r>
          </w:p>
        </w:tc>
        <w:tc>
          <w:tcPr>
            <w:tcW w:type="dxa" w:w="1450"/>
            <w:vAlign w:val="center"/>
          </w:tcPr>
          <w:p>
            <w:pPr>
              <w:spacing w:before="0" w:after="0" w:line="252" w:lineRule="auto"/>
            </w:pPr>
            <w:r/>
            <w:r>
              <w:rPr>
                <w:rFonts w:ascii="Calibri" w:hAnsi="Calibri" w:eastAsia="Calibri"/>
                <w:b w:val="0"/>
                <w:sz w:val="16"/>
              </w:rPr>
              <w:t>Confirmed by Taiwan law</w:t>
            </w:r>
          </w:p>
        </w:tc>
        <w:tc>
          <w:tcPr>
            <w:tcW w:type="dxa" w:w="2610"/>
            <w:vAlign w:val="center"/>
          </w:tcPr>
          <w:p>
            <w:pPr>
              <w:spacing w:before="0" w:after="0" w:line="252" w:lineRule="auto"/>
            </w:pPr>
            <w:r/>
            <w:r>
              <w:rPr>
                <w:rFonts w:ascii="Calibri" w:hAnsi="Calibri" w:eastAsia="Calibri"/>
                <w:b w:val="0"/>
                <w:sz w:val="16"/>
              </w:rPr>
              <w:t>Manage the work as intertwined dual applications with a shared launch decision.</w:t>
            </w:r>
          </w:p>
        </w:tc>
      </w:tr>
    </w:tbl>
    <w:p>
      <w:pPr>
        <w:spacing w:before="0" w:after="160" w:line="264" w:lineRule="auto"/>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gu-sim-chatbot.cguaacsb.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