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43"/>
        <w:gridCol w:w="4643"/>
      </w:tblGrid>
      <w:tr w14:paraId="66153A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EDBAB1F0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第1次指导记录</w:t>
            </w:r>
          </w:p>
        </w:tc>
        <w:tc>
          <w:tcPr>
            <w:tcW w:w="4643" w:type="dxa"/>
          </w:tcPr>
          <w:p w14:paraId="4CC35624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DF6AB9F9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F17E63D4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C000924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围绕“智聘通招聘网站的设计与实现”开展选题与前期准备，阅读任务书及相关资料，梳理招聘业务流程和人岗匹配研究方向。明确求职者、企业和管理员三类用户的需求，初步规划职位检索、简历管理、简历投递和招聘管理功能，并将简历分析、岗位匹配与推荐纳入研究范围。同时初步确定采用Vue 3、Spring Boot与MySQL的技术方案，整理阶段任务，为下一周完善研究现状分析与开题报告做好准备。</w:t>
            </w:r>
          </w:p>
          <w:p w14:paraId="C88D04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1C7D08E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4ADD755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A1FE7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围绕课题完成了研究范围和业务需求的初步梳理，能够区分求职者、企业及管理员的主要任务，所选技术方案与招聘网站的功能需求基本一致。建议继续整理招聘系统和人岗匹配相关文献，细化功能边界与阶段目标，明确智能辅助功能的实现规模，并将研究背景、技术路线和进度安排落实到开题报告中。</w:t>
            </w:r>
          </w:p>
          <w:p w14:paraId="CF1A011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569835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9CDF4D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77B65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2117A4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423CBCD8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第2次指导记录</w:t>
            </w:r>
          </w:p>
        </w:tc>
        <w:tc>
          <w:tcPr>
            <w:tcW w:w="4643" w:type="dxa"/>
          </w:tcPr>
          <w:p w14:paraId="5D7CF58D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2382ACC5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4EA2FEA5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F219ED7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重点整理招聘系统、人岗匹配与智能求职服务相关文献，结合任务书完善开题报告。围绕求职者查找岗位、企业处理投递及平台管理等场景，分析信息分散、筛选依据不清和处理记录难追踪等问题，明确研究目标及应用意义。同时梳理国内外研究现状，确定前后端分离的实现思路，形成涵盖需求分析、系统设计、开发测试和资料整理的十四周计划，为后续需求细化和开题汇报准备材料。</w:t>
            </w:r>
          </w:p>
          <w:p w14:paraId="C518EC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0C52BD3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7F2B725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E1871C2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结合招聘业务需求整理研究背景，开题报告已覆盖研究内容、技术方案及实施计划，系统定位较为清晰。建议进一步核对文献与论述之间的对应关系，区分已有研究成果和本课题拟实现的功能，控制研究范围，并围绕三类用户的核心流程准备汇报内容，增强方案论证的针对性。</w:t>
            </w:r>
          </w:p>
          <w:p w14:paraId="4AC311F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CEB05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5AA2067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21FF5D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9E6B2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B4FC5AA5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第3次指导记录</w:t>
            </w:r>
          </w:p>
        </w:tc>
        <w:tc>
          <w:tcPr>
            <w:tcW w:w="4643" w:type="dxa"/>
          </w:tcPr>
          <w:p w14:paraId="6977C3AD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FA5246EB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0FE6AD13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BE25FD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本周围绕外文资料研读和技术准备展开工作，选取任务书中的人岗匹配相关英文文献，梳理职业经历、岗位要求和技能信息之间的联系，整理专业术语及翻译要点。结合项目方案，明确Java、Spring Boot、Vue 3与MySQL在系统中的职责，了解登录认证、数据持久化和页面交互的基本流程。同时将文献中的匹配思路与本项目的规则评分、语义相似度方案进行对照，为后续翻译整理与系统设计积累依据。</w:t>
            </w:r>
          </w:p>
          <w:p w14:paraId="8847D2D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E5E6535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BA06B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45B2E9C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围绕课题研读外文资料，关注职业经历和岗位要求的表达方式，并结合现有技术方案进行理解。建议翻译时保持术语一致，准确区分研究模型与系统实际采用的方法；后续应加强对原文结论和适用条件的核对，避免将文献实验结果直接作为本项目的测试结论。</w:t>
            </w:r>
          </w:p>
          <w:p w14:paraId="42DEDEA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98C2F3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A287AF0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6A4883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2074DA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9E525E5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第4次指导记录</w:t>
            </w:r>
          </w:p>
        </w:tc>
        <w:tc>
          <w:tcPr>
            <w:tcW w:w="4643" w:type="dxa"/>
          </w:tcPr>
          <w:p w14:paraId="F3387AA6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2A078295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C44E8F11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85E139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进一步细化三类角色的功能需求和访问权限，梳理岗位浏览、简历维护、收藏投递、企业筛选及管理员处理举报等流程。对照页面路由、接口说明和业务实体，明确各功能的输入、处理规则与结果反馈，重点分析重复投递、岗位下架、跨用户查看简历等异常场景。同时从技术、经济和操作三个方面整理可行性分析，明确以本地规则演示和业务流程验证为基础，形成后续开发与测试的工作依据。</w:t>
            </w:r>
          </w:p>
          <w:p w14:paraId="393F2A8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7CFFA5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CD128A8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D24C56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围绕三类角色细化功能需求，注意到数据归属和异常处理等业务边界，需求分析与实际实现的联系较为明确。建议进一步规范用例和流程描述，为每项核心功能列出前置条件、正常结果及异常分支，并将权限校验要求纳入测试计划，避免仅从页面是否可见判断访问权限。</w:t>
            </w:r>
          </w:p>
          <w:p w14:paraId="195A0FC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1C2585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9F3E32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F69D09C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B2CCC0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209570E7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第5次指导记录</w:t>
            </w:r>
          </w:p>
        </w:tc>
        <w:tc>
          <w:tcPr>
            <w:tcW w:w="4643" w:type="dxa"/>
          </w:tcPr>
          <w:p w14:paraId="8DDD6E3F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F54A6FA0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E8C0FBB0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E9D69B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开展系统总体设计和数据库结构梳理，确定浏览器、前端页面、业务接口与数据存储之间的分层关系，明确控制层、服务层和持久层的职责。围绕账号、企业、岗位、简历、投递及智能服务设计十六张业务表，整理主要字段、唯一约束和索引，并通过服务层维护数据关联。同时核对建表、初始化及增量升级脚本的用途，梳理模块间的数据流转，为后续功能实现和开发环境配置做好准备。</w:t>
            </w:r>
          </w:p>
          <w:p w14:paraId="B63A1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DE8976B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5F196E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CCB07AE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将业务需求落实到系统架构和数据库设计，表结构与功能模块之间的对应关系较清楚。建议重点核对账号与企业档案、岗位与技能、简历与经历等关联，明确唯一约束和逻辑删除的适用范围；系统依靠服务层维护关联，应补充异常处理和一致性说明，保证设计文档与脚本相符。</w:t>
            </w:r>
          </w:p>
          <w:p w14:paraId="1073863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224247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A660F1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E49407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3723CF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9B20818E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第6次指导记录</w:t>
            </w:r>
          </w:p>
        </w:tc>
        <w:tc>
          <w:tcPr>
            <w:tcW w:w="4643" w:type="dxa"/>
          </w:tcPr>
          <w:p w14:paraId="E3BECD68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FA064A4F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3D6899B4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3597218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重点整理并完善求职者端的基础业务，包括账号注册登录、个人资料维护、职位检索、简历管理、职位收藏及简历投递。页面通过统一请求封装与后端交互，登录状态由前端状态管理配合令牌认证维护。简历支持基本信息、技能及教育、工作和项目经历的录入，附件解析先展示预览，由用户核对后保存。同时梳理重复投递、简历归属和附件下载权限，保证求职流程的数据处理具有明确边界。</w:t>
            </w:r>
          </w:p>
          <w:p w14:paraId="682881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050E99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5328B5F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389FAD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围绕求职者操作流程组织功能，重视简历维护、职位检索和投递之间的衔接。建议继续检查表单校验、空数据提示及登录失效后的页面反馈，确保附件解析不会直接覆盖原有简历；对重复投递、无权访问和岗位失效等情况，应同时核对前端提示与后端约束。</w:t>
            </w:r>
          </w:p>
          <w:p w14:paraId="DE18169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B7B85C8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5F0361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0A178C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CF7F6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9C88A9F2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第7次指导记录</w:t>
            </w:r>
          </w:p>
        </w:tc>
        <w:tc>
          <w:tcPr>
            <w:tcW w:w="4643" w:type="dxa"/>
          </w:tcPr>
          <w:p w14:paraId="B1F2AD80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6BE7DE25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6F44B0CB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A8D6B35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围绕企业端业务完善企业信息维护、岗位发布与上下架、收到的投递、候选人查看和招聘数据统计等功能。企业可以管理所属岗位，按投递状态筛选候选人，并依据简历与岗位信息查看匹配分析。重点梳理岗位发布、求职者投递、企业处理及求职者查看状态的业务链路，核对企业对岗位和投递记录的归属校验，同时整理状态变更、岗位修改与推荐数据更新之间的关系，为后续跨角色联调做好准备。</w:t>
            </w:r>
          </w:p>
          <w:p w14:paraId="A684464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DEFA74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7BC20A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8598B97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以企业招聘流程为主线组织功能，岗位管理、投递处理及候选人分析的职责较明确。建议加强跨企业数据隔离，核对岗位上下架后的检索与投递行为，并明确每种处理状态允许的操作；招聘统计应标明数据范围，避免将候选人分析结果直接作为录用决定。</w:t>
            </w:r>
          </w:p>
          <w:p w14:paraId="8C1780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3E566E3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720DD3B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2112736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1AFB93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E77DF6D2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第8次指导记录</w:t>
            </w:r>
          </w:p>
        </w:tc>
        <w:tc>
          <w:tcPr>
            <w:tcW w:w="4643" w:type="dxa"/>
          </w:tcPr>
          <w:p w14:paraId="B51FA5C2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B85E78E3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BE21AACB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BCCD132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重点梳理管理员端功能和平台管理流程，完善用户、企业、岗位、简历及投递等业务信息的管理入口，整理举报处理、操作日志和智能服务配置展示。结合权限方案，核对不同角色的访问范围，明确账号禁用后旧令牌应失效，敏感附件下载需校验身份与业务关系。同时检查分页、筛选及异常提示的一致性，确保管理操作能够留下可追溯记录，为后续业务联调和权限测试提供依据。</w:t>
            </w:r>
          </w:p>
          <w:p w14:paraId="3EDE8DA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A90FC1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B07059F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96D7E1F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将平台管理需求与角色权限结合，关注账号状态、举报处理和日志追踪等环节。建议继续核对管理员接口的角色校验，避免仅依赖前端路由限制；智能配置展示应保持密钥脱敏，管理列表应明确筛选条件和操作反馈，并完善禁用账号及越权访问的测试场景。</w:t>
            </w:r>
          </w:p>
          <w:p w14:paraId="3967CA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B6E6B09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38A677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EEE8A00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23649D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6AF74FED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第9次指导记录</w:t>
            </w:r>
          </w:p>
        </w:tc>
        <w:tc>
          <w:tcPr>
            <w:tcW w:w="4643" w:type="dxa"/>
          </w:tcPr>
          <w:p w14:paraId="92A99D4B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DA1A7513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33E4E855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422B731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集中整理智能辅助模块，围绕简历分析、岗位匹配与推荐、简历优化、模拟面试及招聘助手梳理实现流程。岗位匹配综合技能、经验、学历和语义信息，展示分项得分与技能差距；推荐结合简历和岗位变化更新结果。简历优化以用户已有事实为依据，面试和助手记录按用户归属管理。同时明确规则模式与真实模型模式的切换及失败回退路径，保留结果来源说明，真实外部模型的实际效果仍需单独验证。</w:t>
            </w:r>
          </w:p>
          <w:p w14:paraId="AB3B809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1785A70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FE5035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C3CB6F7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将智能功能嵌入招聘业务，关注评分解释、推荐更新和模型失败后的处理方式。建议进一步核对各类结果的保存范围，区分单次匹配与推荐批次；简历优化不得补充未经确认的经历或数据，真实模型效果应依据实测评价，规则演示结果不能替代外部模型验证。</w:t>
            </w:r>
          </w:p>
          <w:p w14:paraId="676F382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0422988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4528E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5741284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80BBB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5313F383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第10次指导记录</w:t>
            </w:r>
          </w:p>
        </w:tc>
        <w:tc>
          <w:tcPr>
            <w:tcW w:w="4643" w:type="dxa"/>
          </w:tcPr>
          <w:p w14:paraId="2FE3B83B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F6C80A61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23F397C0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95B83B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围绕前后端联调和测试资料整理，对照需求检查登录、岗位检索、简历维护、投递处理及权限异常等场景。已有验收记录显示，二十一项后端测试、六十一项页面检查及十五项交互检查通过，前端类型检查和构建亦有通过记录。同步归纳简历解析预览、附件访问限制、重复投递拦截及推荐失效更新等专项验证内容，并登记默认空密钥启动和在线接口文档生成的问题，区分历史测试记录与后续待复测范围。</w:t>
            </w:r>
          </w:p>
          <w:p w14:paraId="E7C3044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FD30588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23A84E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78D88B0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结合已有验收记录整理测试范围，对正常流程和权限异常均有所关注，测试结论的适用边界较明确。建议按用例保留输入、预期结果和实际表现，区分历史验证与本轮复测；对启动及接口文档问题应记录复现条件、影响范围和处理计划，不能以构建通过代替全部业务验收。</w:t>
            </w:r>
          </w:p>
          <w:p w14:paraId="7D325E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B6495B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3940832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A16462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1B93E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353B04C6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第11次指导记录</w:t>
            </w:r>
          </w:p>
        </w:tc>
        <w:tc>
          <w:tcPr>
            <w:tcW w:w="4643" w:type="dxa"/>
          </w:tcPr>
          <w:p w14:paraId="4CB4DD5A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42B32A9E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4A5DE4DC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E7FDE61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重点整理系统打包、运行说明及论文写作素材。后端以可执行JAR组织运行，前端通过生产构建生成静态资源，并核对数据库初始化、增量升级和演示数据脚本的使用顺序。依据现有文档整理本地规则模式的启动参数及环境要求，明确当前具备本地演示基础，真实模型和容器部署仍需验证。同时将架构、数据库、核心流程和测试记录对应到论文章节，为系统设计、实现与测试部分提供可核对的材料。</w:t>
            </w:r>
          </w:p>
          <w:p w14:paraId="ED6C18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CFA929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5CCEAC3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F33BA5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将软件运行与论文素材整理结合，注意到数据库初始化和已有库升级的差别，交付说明较为具体。建议核对依赖版本、启动目录和配置参数，明确附件目录及演示数据的处理方式；论文应区分已实现、已验证和待验证内容，打包产物不能直接等同于生产部署完成。</w:t>
            </w:r>
          </w:p>
          <w:p w14:paraId="417913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A96892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0EA379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53611F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A49D7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B547778C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第12次指导记录</w:t>
            </w:r>
          </w:p>
        </w:tc>
        <w:tc>
          <w:tcPr>
            <w:tcW w:w="4643" w:type="dxa"/>
          </w:tcPr>
          <w:p w14:paraId="64EC8180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5FC5DDC6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954D6EF3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32E0D8B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按照毕业设计写作要求，进一步梳理绪论、相关技术、需求分析、总体设计、系统实现与测试等章节的材料，核对开题报告、系统说明和源代码中的功能名称。重点检查三角色业务边界、数据库关联和智能匹配流程的表述，统一图表编号、术语及参考文献格式。对论文终稿、外文译稿及查重检测等后续事项建立核对清单，准备结合实际文稿继续修改，使论文论述与项目实现及验证记录保持一致。</w:t>
            </w:r>
          </w:p>
          <w:p w14:paraId="E720CA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EDA574D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6800593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A25A20A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围绕论文章节组织项目材料，关注功能命名、图表和参考文献的一致性，整理方向基本符合毕业设计要求。建议后续逐章核对正文与源码、截图及测试证据的对应关系，补足必要的分析过程；论文查重应以正式检测报告为准，并根据实际反馈修改，不提前给出通过结论。</w:t>
            </w:r>
          </w:p>
          <w:p w14:paraId="2742E4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B7730FF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FC4B0C3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B201F79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B8F3E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BBEDA10B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第13次指导记录</w:t>
            </w:r>
          </w:p>
        </w:tc>
        <w:tc>
          <w:tcPr>
            <w:tcW w:w="4643" w:type="dxa"/>
          </w:tcPr>
          <w:p w14:paraId="7AFEFEEA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22265BFF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84B5352E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7F865EC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围绕答辩汇报整理展示内容，依据开题报告和系统文档拟定研究背景、需求分析、系统架构、关键实现、测试结果及总结展望的汇报顺序。梳理求职者检索投递、企业处理候选人和管理员维护平台的演示路径，并准备简历分析与岗位匹配的解释要点。同时整理技术选型、权限控制、推荐更新及规则回退等常见问题的应答材料，明确本地演示条件和已知限制，为制作答辩PPT及后续演练做好准备。</w:t>
            </w:r>
          </w:p>
          <w:p w14:paraId="91F69CD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A0F64A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68A65A1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DE6240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围绕实际功能安排答辩内容，汇报主线与招聘业务流程衔接较好。建议制作PPT时减少长段文字，用架构图、流程图和操作截图支撑说明；演示应提前核对账号、数据库与启动参数，回答问题时准确说明智能结果来源及验证范围，控制汇报时长并加强演练。</w:t>
            </w:r>
          </w:p>
          <w:p w14:paraId="614B83C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DD5FADB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618E6A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9A1E9B3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  <w:tr w14:paraId="F1EAC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43" w:type="dxa"/>
          </w:tcPr>
          <w:p w14:paraId="AA72ABE6">
            <w:pPr>
              <w:keepNext/>
              <w:rPr>
                <w:vertAlign w:val="baseline"/>
              </w:rPr>
            </w:pPr>
            <w:r>
              <w:br w:type="page"/>
            </w:r>
            <w:r>
              <w:rPr>
                <w:rFonts w:hint="eastAsia" w:hAnsi="宋体"/>
                <w:b/>
                <w:bCs/>
                <w:sz w:val="28"/>
                <w:szCs w:val="28"/>
              </w:rPr>
              <w:t>第14次指导记录</w:t>
            </w:r>
          </w:p>
        </w:tc>
        <w:tc>
          <w:tcPr>
            <w:tcW w:w="4643" w:type="dxa"/>
          </w:tcPr>
          <w:p w14:paraId="AF16004A">
            <w:pPr>
              <w:keepNext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8"/>
                <w:szCs w:val="28"/>
              </w:rPr>
              <w:t>时间：</w:t>
            </w:r>
            <w:r>
              <w:rPr>
                <w:rFonts w:hint="eastAsia" w:hAnsi="宋体"/>
                <w:b/>
                <w:bCs/>
                <w:sz w:val="28"/>
                <w:szCs w:val="28"/>
                <w:lang w:val="en-US" w:eastAsia="zh-CN"/>
              </w:rPr>
              <w:t xml:space="preserve">    年    月    日</w:t>
            </w:r>
          </w:p>
        </w:tc>
      </w:tr>
      <w:tr w14:paraId="C2A37E0B">
        <w:trPr>
          <w:cantSplit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286" w:type="dxa"/>
            <w:gridSpan w:val="2"/>
          </w:tcPr>
          <w:p w14:paraId="B359EAD4">
            <w:pPr>
              <w:pStyle w:val="2"/>
              <w:spacing w:before="156" w:beforeLines="50" w:after="156" w:afterLines="50"/>
              <w:rPr>
                <w:rFonts w:hAnsi="宋体"/>
                <w:sz w:val="24"/>
                <w:szCs w:val="24"/>
              </w:rPr>
            </w:pPr>
            <w:r>
              <w:rPr>
                <w:rFonts w:hint="eastAsia" w:hAnsi="宋体"/>
                <w:sz w:val="24"/>
                <w:szCs w:val="24"/>
              </w:rPr>
              <w:t>本周工作进展情况（学生填写）：</w:t>
            </w:r>
          </w:p>
          <w:p w14:paraId="A76A6CE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本周重点梳理毕业设计收尾与归档事项，核对任务书、开题报告、系统源代码、数据库脚本、接口说明、运行指南和已有测试材料之间的对应关系，检查文件命名及目录组织。进一步整理权限校验、智能匹配与规则模式演示的说明要点，将默认空密钥启动、在线接口文档及真实模型验证列入后续完善清单。同时明确论文终稿、译稿、答辩PPT和正式检测材料的补齐要求，为后续提交、复核和答辩演示做好准备。</w:t>
            </w:r>
          </w:p>
          <w:p w14:paraId="5C51476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</w:rPr>
              <w:t xml:space="preserve"> </w:t>
            </w:r>
          </w:p>
          <w:p w14:paraId="C18CFB9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default" w:ascii="宋体" w:hAnsi="宋体" w:eastAsia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教师评价及建议：</w:t>
            </w:r>
          </w:p>
          <w:p w14:paraId="2428E5D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color w:val="000000"/>
                <w:sz w:val="24"/>
                <w:lang w:val="en-US" w:eastAsia="zh-CN"/>
              </w:rPr>
              <w:t>指导教师：</w:t>
            </w:r>
          </w:p>
          <w:p w14:paraId="BEFF22D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  <w:r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  <w:t>该生能够结合现有成果梳理收尾任务，关注代码、数据和说明文档的相互对应，归档思路较为清楚。建议按照学校要求继续补齐论文与答辩材料，保留可复现的环境配置和验证记录；对尚未解决的问题明确后续计划，正式提交前再次核查文件完整性、版本一致性及演示流程。</w:t>
            </w:r>
          </w:p>
          <w:p w14:paraId="DEEEBCE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8235DE1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A22BCBA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  <w:p w14:paraId="D27566A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firstLine="480" w:firstLineChars="200"/>
              <w:textAlignment w:val="auto"/>
              <w:rPr>
                <w:rFonts w:hint="default" w:ascii="宋体" w:hAnsi="宋体"/>
                <w:bCs/>
                <w:color w:val="000000"/>
                <w:sz w:val="24"/>
                <w:lang w:val="en-US" w:eastAsia="zh-CN"/>
              </w:rPr>
            </w:pPr>
          </w:p>
        </w:tc>
      </w:tr>
    </w:tbl>
    <w:p w14:paraId="26978083"/>
    <w:sectPr>
      <w:footerReference r:id="rId3" w:type="default"/>
      <w:pgSz w:w="11906" w:h="16838"/>
      <w:pgMar w:top="1440" w:right="1418" w:bottom="1440" w:left="1418" w:header="851" w:footer="992" w:gutter="0"/>
      <w:pgNumType w:start="1"/>
      <w:cols w:space="708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59D75">
    <w:pPr>
      <w:pStyle w:val="4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2726AD5D">
    <w:pPr>
      <w:pStyle w:val="4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noPunctuationKerning w:val="1"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OWUyYjdiZDQ5MjhmYWEwNmI0MWJmOGRlMWQwMjc0MGUifQ=="/>
  </w:docVars>
  <w:rsids>
    <w:rsidRoot w:val="00432D5B"/>
    <w:rsid w:val="00174A26"/>
    <w:rsid w:val="00197EA2"/>
    <w:rsid w:val="001B7B0E"/>
    <w:rsid w:val="00211235"/>
    <w:rsid w:val="00355B0F"/>
    <w:rsid w:val="0037241C"/>
    <w:rsid w:val="00432D5B"/>
    <w:rsid w:val="004748A3"/>
    <w:rsid w:val="00476A08"/>
    <w:rsid w:val="00547441"/>
    <w:rsid w:val="00560C1D"/>
    <w:rsid w:val="007124F1"/>
    <w:rsid w:val="00836AAC"/>
    <w:rsid w:val="008D79A5"/>
    <w:rsid w:val="00973E89"/>
    <w:rsid w:val="00A528C3"/>
    <w:rsid w:val="00A576BE"/>
    <w:rsid w:val="00AC1D10"/>
    <w:rsid w:val="00B27C85"/>
    <w:rsid w:val="00BD2161"/>
    <w:rsid w:val="00CA01CD"/>
    <w:rsid w:val="00CA674C"/>
    <w:rsid w:val="00D119EE"/>
    <w:rsid w:val="00D316D1"/>
    <w:rsid w:val="00D53340"/>
    <w:rsid w:val="00E61B40"/>
    <w:rsid w:val="00E76E43"/>
    <w:rsid w:val="00EC07FD"/>
    <w:rsid w:val="00F66D23"/>
    <w:rsid w:val="00F7545F"/>
    <w:rsid w:val="00F80116"/>
    <w:rsid w:val="01FE1882"/>
    <w:rsid w:val="033E4783"/>
    <w:rsid w:val="04C97532"/>
    <w:rsid w:val="061E0A0E"/>
    <w:rsid w:val="0C710C53"/>
    <w:rsid w:val="105D679A"/>
    <w:rsid w:val="139B7C6E"/>
    <w:rsid w:val="13FE7465"/>
    <w:rsid w:val="15DD1057"/>
    <w:rsid w:val="16E67CCB"/>
    <w:rsid w:val="190B2A8E"/>
    <w:rsid w:val="190C6C58"/>
    <w:rsid w:val="1AF22C80"/>
    <w:rsid w:val="1B1E426D"/>
    <w:rsid w:val="1B9A02BB"/>
    <w:rsid w:val="1BBA0800"/>
    <w:rsid w:val="1DFB5D15"/>
    <w:rsid w:val="1F4E7095"/>
    <w:rsid w:val="215C74C3"/>
    <w:rsid w:val="23682A4F"/>
    <w:rsid w:val="23AF76E9"/>
    <w:rsid w:val="26AA3253"/>
    <w:rsid w:val="294256E6"/>
    <w:rsid w:val="2C362935"/>
    <w:rsid w:val="2FF53557"/>
    <w:rsid w:val="30706AAB"/>
    <w:rsid w:val="39613AD2"/>
    <w:rsid w:val="4073023B"/>
    <w:rsid w:val="42E262C3"/>
    <w:rsid w:val="477243BE"/>
    <w:rsid w:val="4A07628E"/>
    <w:rsid w:val="4F036F1E"/>
    <w:rsid w:val="4F992BA2"/>
    <w:rsid w:val="50487C70"/>
    <w:rsid w:val="50E21A8C"/>
    <w:rsid w:val="527F064A"/>
    <w:rsid w:val="52F64E2F"/>
    <w:rsid w:val="58C87545"/>
    <w:rsid w:val="5B533EDB"/>
    <w:rsid w:val="5BF65274"/>
    <w:rsid w:val="5C643298"/>
    <w:rsid w:val="5C79218F"/>
    <w:rsid w:val="5E7B4781"/>
    <w:rsid w:val="5F0F11F4"/>
    <w:rsid w:val="5F8E4B28"/>
    <w:rsid w:val="5FE44BF2"/>
    <w:rsid w:val="607A6FBE"/>
    <w:rsid w:val="61194412"/>
    <w:rsid w:val="649C6869"/>
    <w:rsid w:val="649F046D"/>
    <w:rsid w:val="669200B6"/>
    <w:rsid w:val="688048D9"/>
    <w:rsid w:val="6886022F"/>
    <w:rsid w:val="68C471C3"/>
    <w:rsid w:val="6AA82EF4"/>
    <w:rsid w:val="6B0F594C"/>
    <w:rsid w:val="6B37347C"/>
    <w:rsid w:val="7088766A"/>
    <w:rsid w:val="70E1109C"/>
    <w:rsid w:val="71272ABA"/>
    <w:rsid w:val="73CD79CE"/>
    <w:rsid w:val="7403074E"/>
    <w:rsid w:val="783D4C94"/>
    <w:rsid w:val="7A472671"/>
    <w:rsid w:val="7DD115BB"/>
    <w:rsid w:val="7E3B22F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11"/>
    <w:unhideWhenUsed/>
    <w:qFormat/>
    <w:uiPriority w:val="99"/>
    <w:rPr>
      <w:rFonts w:ascii="宋体" w:hAnsi="Courier New" w:cs="Courier New"/>
      <w:szCs w:val="21"/>
    </w:rPr>
  </w:style>
  <w:style w:type="paragraph" w:styleId="3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Calibri" w:hAnsi="Calibri" w:eastAsia="宋体" w:cs="Times New Roman"/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Calibri" w:hAnsi="Calibri" w:eastAsia="宋体" w:cs="Times New Roman"/>
      <w:sz w:val="18"/>
      <w:szCs w:val="18"/>
    </w:rPr>
  </w:style>
  <w:style w:type="paragraph" w:styleId="6">
    <w:name w:val="Normal (Web)"/>
    <w:basedOn w:val="1"/>
    <w:unhideWhenUsed/>
    <w:qFormat/>
    <w:uiPriority w:val="99"/>
    <w:rPr>
      <w:sz w:val="24"/>
    </w:rPr>
  </w:style>
  <w:style w:type="table" w:styleId="8">
    <w:name w:val="Table Grid"/>
    <w:basedOn w:val="7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page number"/>
    <w:basedOn w:val="9"/>
    <w:qFormat/>
    <w:uiPriority w:val="0"/>
  </w:style>
  <w:style w:type="character" w:customStyle="1" w:styleId="11">
    <w:name w:val="纯文本 字符"/>
    <w:basedOn w:val="9"/>
    <w:link w:val="2"/>
    <w:qFormat/>
    <w:uiPriority w:val="99"/>
    <w:rPr>
      <w:rFonts w:ascii="宋体" w:hAnsi="Courier New" w:eastAsia="宋体" w:cs="Courier New"/>
      <w:szCs w:val="21"/>
    </w:rPr>
  </w:style>
  <w:style w:type="character" w:customStyle="1" w:styleId="12">
    <w:name w:val="批注框文本 字符"/>
    <w:basedOn w:val="9"/>
    <w:link w:val="3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字符"/>
    <w:basedOn w:val="9"/>
    <w:link w:val="4"/>
    <w:qFormat/>
    <w:uiPriority w:val="99"/>
    <w:rPr>
      <w:sz w:val="18"/>
      <w:szCs w:val="18"/>
    </w:rPr>
  </w:style>
  <w:style w:type="character" w:customStyle="1" w:styleId="14">
    <w:name w:val="页眉 字符"/>
    <w:basedOn w:val="9"/>
    <w:link w:val="5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ICOS</Company>
  <Pages>7</Pages>
  <Words>4853</Words>
  <Characters>5006</Characters>
  <Lines>1</Lines>
  <Paragraphs>1</Paragraphs>
  <TotalTime>8</TotalTime>
  <ScaleCrop>false</ScaleCrop>
  <LinksUpToDate>false</LinksUpToDate>
  <CharactersWithSpaces>5044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2019-12-10T07:45:00Z</dcterms:created>
  <dc:creator>iCura</dc:creator>
  <cp:lastModifiedBy>花兒對我笑つ。</cp:lastModifiedBy>
  <cp:lastPrinted>2019-12-14T08:26:00Z</cp:lastPrinted>
  <dcterms:modified xsi:type="dcterms:W3CDTF">2026-05-19T07:52:28Z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0ACC4BACDB0B4129A45D92884F1B992A</vt:lpwstr>
  </property>
  <property fmtid="{D5CDD505-2E9C-101B-9397-08002B2CF9AE}" pid="3" name="KSOProductBuildVer">
    <vt:lpwstr>2052-12.1.0.25865</vt:lpwstr>
  </property>
  <property fmtid="{D5CDD505-2E9C-101B-9397-08002B2CF9AE}" pid="4" name="KSOTemplateDocerSaveRecord">
    <vt:lpwstr>eyJoZGlkIjoiYTM1NzNlYTY3ZjkxY2Y5N2U4MjYyNmNjOTkwMTBjMzYiLCJ1c2VySWQiOiIzODM2MTc5MTMifQ==</vt:lpwstr>
  </property>
</Properties>
</file>