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Arial" w:hAnsi="Arial"/>
          <w:b/>
          <w:color w:val="1A365D"/>
          <w:sz w:val="36"/>
        </w:rPr>
        <w:t>ADVENTURE WORKS CYCLES</w:t>
        <w:br/>
        <w:t>CORPORATE CREDIT LIMIT AND PAYMENT TERMS POLICY</w:t>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100" w:type="dxa"/>
              <w:right w:w="100" w:type="dxa"/>
            </w:tcMar>
          </w:tcPr>
          <w:p>
            <w:r>
              <w:rPr>
                <w:rFonts w:ascii="Arial" w:hAnsi="Arial"/>
                <w:b/>
                <w:sz w:val="20"/>
              </w:rPr>
              <w:t>Policy ID:</w:t>
            </w:r>
          </w:p>
        </w:tc>
        <w:tc>
          <w:tcPr>
            <w:tcW w:type="dxa" w:w="4680"/>
            <w:tcMar>
              <w:top w:w="60" w:type="dxa"/>
              <w:bottom w:w="60" w:type="dxa"/>
              <w:left w:w="100" w:type="dxa"/>
              <w:right w:w="100" w:type="dxa"/>
            </w:tcMar>
          </w:tcPr>
          <w:p>
            <w:r>
              <w:rPr>
                <w:rFonts w:ascii="Arial" w:hAnsi="Arial"/>
                <w:sz w:val="20"/>
              </w:rPr>
              <w:t>AW-FIN-POL-003</w:t>
            </w:r>
          </w:p>
        </w:tc>
      </w:tr>
      <w:tr>
        <w:tc>
          <w:tcPr>
            <w:tcW w:type="dxa" w:w="4680"/>
            <w:tcMar>
              <w:top w:w="60" w:type="dxa"/>
              <w:bottom w:w="60" w:type="dxa"/>
              <w:left w:w="100" w:type="dxa"/>
              <w:right w:w="100" w:type="dxa"/>
            </w:tcMar>
          </w:tcPr>
          <w:p>
            <w:r>
              <w:rPr>
                <w:rFonts w:ascii="Arial" w:hAnsi="Arial"/>
                <w:b/>
                <w:sz w:val="20"/>
              </w:rPr>
              <w:t>Effective Date:</w:t>
            </w:r>
          </w:p>
        </w:tc>
        <w:tc>
          <w:tcPr>
            <w:tcW w:type="dxa" w:w="4680"/>
            <w:tcMar>
              <w:top w:w="60" w:type="dxa"/>
              <w:bottom w:w="60" w:type="dxa"/>
              <w:left w:w="100" w:type="dxa"/>
              <w:right w:w="100" w:type="dxa"/>
            </w:tcMar>
          </w:tcPr>
          <w:p>
            <w:r>
              <w:rPr>
                <w:rFonts w:ascii="Arial" w:hAnsi="Arial"/>
                <w:sz w:val="20"/>
              </w:rPr>
              <w:t>July 1, 2026</w:t>
            </w:r>
          </w:p>
        </w:tc>
      </w:tr>
      <w:tr>
        <w:tc>
          <w:tcPr>
            <w:tcW w:type="dxa" w:w="4680"/>
            <w:tcMar>
              <w:top w:w="60" w:type="dxa"/>
              <w:bottom w:w="60" w:type="dxa"/>
              <w:left w:w="100" w:type="dxa"/>
              <w:right w:w="100" w:type="dxa"/>
            </w:tcMar>
          </w:tcPr>
          <w:p>
            <w:r>
              <w:rPr>
                <w:rFonts w:ascii="Arial" w:hAnsi="Arial"/>
                <w:b/>
                <w:sz w:val="20"/>
              </w:rPr>
              <w:t>Approved By:</w:t>
            </w:r>
          </w:p>
        </w:tc>
        <w:tc>
          <w:tcPr>
            <w:tcW w:type="dxa" w:w="4680"/>
            <w:tcMar>
              <w:top w:w="60" w:type="dxa"/>
              <w:bottom w:w="60" w:type="dxa"/>
              <w:left w:w="100" w:type="dxa"/>
              <w:right w:w="100" w:type="dxa"/>
            </w:tcMar>
          </w:tcPr>
          <w:p>
            <w:r>
              <w:rPr>
                <w:rFonts w:ascii="Arial" w:hAnsi="Arial"/>
                <w:sz w:val="20"/>
              </w:rPr>
              <w:t>Chief Financial Officer &amp; VP of Risk Management</w:t>
            </w:r>
          </w:p>
        </w:tc>
      </w:tr>
      <w:tr>
        <w:tc>
          <w:tcPr>
            <w:tcW w:type="dxa" w:w="4680"/>
            <w:tcMar>
              <w:top w:w="60" w:type="dxa"/>
              <w:bottom w:w="60" w:type="dxa"/>
              <w:left w:w="100" w:type="dxa"/>
              <w:right w:w="100" w:type="dxa"/>
            </w:tcMar>
          </w:tcPr>
          <w:p>
            <w:r>
              <w:rPr>
                <w:rFonts w:ascii="Arial" w:hAnsi="Arial"/>
                <w:b/>
                <w:sz w:val="20"/>
              </w:rPr>
              <w:t>Applicable To:</w:t>
            </w:r>
          </w:p>
        </w:tc>
        <w:tc>
          <w:tcPr>
            <w:tcW w:type="dxa" w:w="4680"/>
            <w:tcMar>
              <w:top w:w="60" w:type="dxa"/>
              <w:bottom w:w="60" w:type="dxa"/>
              <w:left w:w="100" w:type="dxa"/>
              <w:right w:w="100" w:type="dxa"/>
            </w:tcMar>
          </w:tcPr>
          <w:p>
            <w:r>
              <w:rPr>
                <w:rFonts w:ascii="Arial" w:hAnsi="Arial"/>
                <w:sz w:val="20"/>
              </w:rPr>
              <w:t>All Sales Channels (B2B, Distributors, Direct Corporate Accounts)</w:t>
            </w:r>
          </w:p>
        </w:tc>
      </w:tr>
    </w:tbl>
    <w:p>
      <w:pPr>
        <w:spacing w:after="240"/>
      </w:pPr>
    </w:p>
    <w:p>
      <w:pPr>
        <w:pStyle w:val="Heading1"/>
        <w:keepNext/>
        <w:spacing w:before="240" w:after="120"/>
        <w:pBdr>
          <w:bottom w:val="single" w:sz="6" w:space="4" w:color="A0AEC0"/>
        </w:pBdr>
      </w:pPr>
      <w:r>
        <w:rPr>
          <w:rFonts w:ascii="Arial" w:hAnsi="Arial"/>
          <w:color w:val="1A365D"/>
          <w:sz w:val="28"/>
        </w:rPr>
        <w:t>1. Purpose and Scope</w:t>
      </w:r>
    </w:p>
    <w:p>
      <w:r>
        <w:t>Adventure Works Cycles is dedicated to maintaining high commercial standard operational safety while aggressively expanding its market footprint. The purpose of this policy is to establish clear, robust guidelines regarding commercial credit limits, customer payment terms, and continuous risk assessments. This regulation aims to minimize the company's exposure to bad debts, optimize cash flow, and prevent unauthorized credit extensions by sales representatives.</w:t>
      </w:r>
    </w:p>
    <w:p>
      <w:pPr>
        <w:pStyle w:val="Heading1"/>
        <w:keepNext/>
        <w:spacing w:before="240" w:after="120"/>
        <w:pBdr>
          <w:bottom w:val="single" w:sz="6" w:space="4" w:color="A0AEC0"/>
        </w:pBdr>
      </w:pPr>
      <w:r>
        <w:rPr>
          <w:rFonts w:ascii="Arial" w:hAnsi="Arial"/>
          <w:color w:val="1A365D"/>
          <w:sz w:val="28"/>
        </w:rPr>
        <w:t>2. Customer Tiering and Payment Terms Matrix</w:t>
      </w:r>
    </w:p>
    <w:p>
      <w:r>
        <w:t>All business-to-business (B2B) customers, including regional distributors and corporate accounts, must undergo mandatory credit screening prior to the execution of any sales contract. Customers are grouped into tiers based on historical trade volume, credit scores, and length of active corporate relationship with Adventure Works Cycles: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65D"/>
            <w:tcMar>
              <w:top w:w="120" w:type="dxa"/>
              <w:bottom w:w="120" w:type="dxa"/>
              <w:left w:w="100" w:type="dxa"/>
              <w:right w:w="100" w:type="dxa"/>
            </w:tcMar>
          </w:tcPr>
          <w:p>
            <w:pPr>
              <w:jc w:val="center"/>
            </w:pPr>
            <w:r>
              <w:rPr>
                <w:rFonts w:ascii="Arial" w:hAnsi="Arial"/>
                <w:b/>
                <w:color w:val="FFFFFF"/>
                <w:sz w:val="20"/>
              </w:rPr>
              <w:t>Customer Classification / Tier</w:t>
            </w:r>
          </w:p>
        </w:tc>
        <w:tc>
          <w:tcPr>
            <w:tcW w:type="dxa" w:w="1872"/>
            <w:shd w:fill="1A365D"/>
            <w:tcMar>
              <w:top w:w="120" w:type="dxa"/>
              <w:bottom w:w="120" w:type="dxa"/>
              <w:left w:w="100" w:type="dxa"/>
              <w:right w:w="100" w:type="dxa"/>
            </w:tcMar>
          </w:tcPr>
          <w:p>
            <w:pPr>
              <w:jc w:val="center"/>
            </w:pPr>
            <w:r>
              <w:rPr>
                <w:rFonts w:ascii="Arial" w:hAnsi="Arial"/>
                <w:b/>
                <w:color w:val="FFFFFF"/>
                <w:sz w:val="20"/>
              </w:rPr>
              <w:t>Advance Payment Required</w:t>
            </w:r>
          </w:p>
        </w:tc>
        <w:tc>
          <w:tcPr>
            <w:tcW w:type="dxa" w:w="1872"/>
            <w:shd w:fill="1A365D"/>
            <w:tcMar>
              <w:top w:w="120" w:type="dxa"/>
              <w:bottom w:w="120" w:type="dxa"/>
              <w:left w:w="100" w:type="dxa"/>
              <w:right w:w="100" w:type="dxa"/>
            </w:tcMar>
          </w:tcPr>
          <w:p>
            <w:pPr>
              <w:jc w:val="center"/>
            </w:pPr>
            <w:r>
              <w:rPr>
                <w:rFonts w:ascii="Arial" w:hAnsi="Arial"/>
                <w:b/>
                <w:color w:val="FFFFFF"/>
                <w:sz w:val="20"/>
              </w:rPr>
              <w:t>Maximum Approved Credit Term</w:t>
            </w:r>
          </w:p>
        </w:tc>
        <w:tc>
          <w:tcPr>
            <w:tcW w:type="dxa" w:w="1872"/>
            <w:shd w:fill="1A365D"/>
            <w:tcMar>
              <w:top w:w="120" w:type="dxa"/>
              <w:bottom w:w="120" w:type="dxa"/>
              <w:left w:w="100" w:type="dxa"/>
              <w:right w:w="100" w:type="dxa"/>
            </w:tcMar>
          </w:tcPr>
          <w:p>
            <w:pPr>
              <w:jc w:val="center"/>
            </w:pPr>
            <w:r>
              <w:rPr>
                <w:rFonts w:ascii="Arial" w:hAnsi="Arial"/>
                <w:b/>
                <w:color w:val="FFFFFF"/>
                <w:sz w:val="20"/>
              </w:rPr>
              <w:t>Maximum Allowed Credit Limit</w:t>
            </w:r>
          </w:p>
        </w:tc>
        <w:tc>
          <w:tcPr>
            <w:tcW w:type="dxa" w:w="1872"/>
            <w:shd w:fill="1A365D"/>
            <w:tcMar>
              <w:top w:w="120" w:type="dxa"/>
              <w:bottom w:w="120" w:type="dxa"/>
              <w:left w:w="100" w:type="dxa"/>
              <w:right w:w="100" w:type="dxa"/>
            </w:tcMar>
          </w:tcPr>
          <w:p>
            <w:pPr>
              <w:jc w:val="center"/>
            </w:pPr>
            <w:r>
              <w:rPr>
                <w:rFonts w:ascii="Arial" w:hAnsi="Arial"/>
                <w:b/>
                <w:color w:val="FFFFFF"/>
                <w:sz w:val="20"/>
              </w:rPr>
              <w:t>Qualification Criteria</w:t>
            </w:r>
          </w:p>
        </w:tc>
      </w:tr>
      <w:tr>
        <w:tc>
          <w:tcPr>
            <w:tcW w:type="dxa" w:w="1872"/>
            <w:shd w:fill="FFFFFF"/>
            <w:tcMar>
              <w:top w:w="100" w:type="dxa"/>
              <w:bottom w:w="100" w:type="dxa"/>
              <w:left w:w="100" w:type="dxa"/>
              <w:right w:w="100" w:type="dxa"/>
            </w:tcMar>
          </w:tcPr>
          <w:p>
            <w:r>
              <w:rPr>
                <w:rFonts w:ascii="Arial" w:hAnsi="Arial"/>
                <w:sz w:val="19"/>
              </w:rPr>
              <w:t>New Customer (First 12 Months)</w:t>
            </w:r>
          </w:p>
        </w:tc>
        <w:tc>
          <w:tcPr>
            <w:tcW w:type="dxa" w:w="1872"/>
            <w:shd w:fill="FFFFFF"/>
            <w:tcMar>
              <w:top w:w="100" w:type="dxa"/>
              <w:bottom w:w="100" w:type="dxa"/>
              <w:left w:w="100" w:type="dxa"/>
              <w:right w:w="100" w:type="dxa"/>
            </w:tcMar>
          </w:tcPr>
          <w:p>
            <w:r>
              <w:rPr>
                <w:rFonts w:ascii="Arial" w:hAnsi="Arial"/>
                <w:sz w:val="19"/>
              </w:rPr>
              <w:t>30% Upfront Downpayment</w:t>
            </w:r>
          </w:p>
        </w:tc>
        <w:tc>
          <w:tcPr>
            <w:tcW w:type="dxa" w:w="1872"/>
            <w:shd w:fill="FFFFFF"/>
            <w:tcMar>
              <w:top w:w="100" w:type="dxa"/>
              <w:bottom w:w="100" w:type="dxa"/>
              <w:left w:w="100" w:type="dxa"/>
              <w:right w:w="100" w:type="dxa"/>
            </w:tcMar>
          </w:tcPr>
          <w:p>
            <w:r>
              <w:rPr>
                <w:rFonts w:ascii="Arial" w:hAnsi="Arial"/>
                <w:sz w:val="19"/>
              </w:rPr>
              <w:t>Net 30 Days</w:t>
            </w:r>
          </w:p>
        </w:tc>
        <w:tc>
          <w:tcPr>
            <w:tcW w:type="dxa" w:w="1872"/>
            <w:shd w:fill="FFFFFF"/>
            <w:tcMar>
              <w:top w:w="100" w:type="dxa"/>
              <w:bottom w:w="100" w:type="dxa"/>
              <w:left w:w="100" w:type="dxa"/>
              <w:right w:w="100" w:type="dxa"/>
            </w:tcMar>
          </w:tcPr>
          <w:p>
            <w:r>
              <w:rPr>
                <w:rFonts w:ascii="Arial" w:hAnsi="Arial"/>
                <w:sz w:val="19"/>
              </w:rPr>
              <w:t>$50,000 USD</w:t>
            </w:r>
          </w:p>
        </w:tc>
        <w:tc>
          <w:tcPr>
            <w:tcW w:type="dxa" w:w="1872"/>
            <w:shd w:fill="FFFFFF"/>
            <w:tcMar>
              <w:top w:w="100" w:type="dxa"/>
              <w:bottom w:w="100" w:type="dxa"/>
              <w:left w:w="100" w:type="dxa"/>
              <w:right w:w="100" w:type="dxa"/>
            </w:tcMar>
          </w:tcPr>
          <w:p>
            <w:r>
              <w:rPr>
                <w:rFonts w:ascii="Arial" w:hAnsi="Arial"/>
                <w:sz w:val="19"/>
              </w:rPr>
              <w:t>Initial registration; no prior trade record with Adventure Works.</w:t>
            </w:r>
          </w:p>
        </w:tc>
      </w:tr>
      <w:tr>
        <w:tc>
          <w:tcPr>
            <w:tcW w:type="dxa" w:w="1872"/>
            <w:shd w:fill="F7FAFC"/>
            <w:tcMar>
              <w:top w:w="100" w:type="dxa"/>
              <w:bottom w:w="100" w:type="dxa"/>
              <w:left w:w="100" w:type="dxa"/>
              <w:right w:w="100" w:type="dxa"/>
            </w:tcMar>
          </w:tcPr>
          <w:p>
            <w:r>
              <w:rPr>
                <w:rFonts w:ascii="Arial" w:hAnsi="Arial"/>
                <w:sz w:val="19"/>
              </w:rPr>
              <w:t>Tier 3 Standard Account</w:t>
            </w:r>
          </w:p>
        </w:tc>
        <w:tc>
          <w:tcPr>
            <w:tcW w:type="dxa" w:w="1872"/>
            <w:shd w:fill="F7FAFC"/>
            <w:tcMar>
              <w:top w:w="100" w:type="dxa"/>
              <w:bottom w:w="100" w:type="dxa"/>
              <w:left w:w="100" w:type="dxa"/>
              <w:right w:w="100" w:type="dxa"/>
            </w:tcMar>
          </w:tcPr>
          <w:p>
            <w:r>
              <w:rPr>
                <w:rFonts w:ascii="Arial" w:hAnsi="Arial"/>
                <w:sz w:val="19"/>
              </w:rPr>
              <w:t>0% - 10% (Subject to Review)</w:t>
            </w:r>
          </w:p>
        </w:tc>
        <w:tc>
          <w:tcPr>
            <w:tcW w:type="dxa" w:w="1872"/>
            <w:shd w:fill="F7FAFC"/>
            <w:tcMar>
              <w:top w:w="100" w:type="dxa"/>
              <w:bottom w:w="100" w:type="dxa"/>
              <w:left w:w="100" w:type="dxa"/>
              <w:right w:w="100" w:type="dxa"/>
            </w:tcMar>
          </w:tcPr>
          <w:p>
            <w:r>
              <w:rPr>
                <w:rFonts w:ascii="Arial" w:hAnsi="Arial"/>
                <w:sz w:val="19"/>
              </w:rPr>
              <w:t>Net 45 Days</w:t>
            </w:r>
          </w:p>
        </w:tc>
        <w:tc>
          <w:tcPr>
            <w:tcW w:type="dxa" w:w="1872"/>
            <w:shd w:fill="F7FAFC"/>
            <w:tcMar>
              <w:top w:w="100" w:type="dxa"/>
              <w:bottom w:w="100" w:type="dxa"/>
              <w:left w:w="100" w:type="dxa"/>
              <w:right w:w="100" w:type="dxa"/>
            </w:tcMar>
          </w:tcPr>
          <w:p>
            <w:r>
              <w:rPr>
                <w:rFonts w:ascii="Arial" w:hAnsi="Arial"/>
                <w:sz w:val="19"/>
              </w:rPr>
              <w:t>$250,000 USD</w:t>
            </w:r>
          </w:p>
        </w:tc>
        <w:tc>
          <w:tcPr>
            <w:tcW w:type="dxa" w:w="1872"/>
            <w:shd w:fill="F7FAFC"/>
            <w:tcMar>
              <w:top w:w="100" w:type="dxa"/>
              <w:bottom w:w="100" w:type="dxa"/>
              <w:left w:w="100" w:type="dxa"/>
              <w:right w:w="100" w:type="dxa"/>
            </w:tcMar>
          </w:tcPr>
          <w:p>
            <w:r>
              <w:rPr>
                <w:rFonts w:ascii="Arial" w:hAnsi="Arial"/>
                <w:sz w:val="19"/>
              </w:rPr>
              <w:t>Active relationship &gt; 1 year; excellent payment compliance history.</w:t>
            </w:r>
          </w:p>
        </w:tc>
      </w:tr>
      <w:tr>
        <w:tc>
          <w:tcPr>
            <w:tcW w:type="dxa" w:w="1872"/>
            <w:shd w:fill="FFFFFF"/>
            <w:tcMar>
              <w:top w:w="100" w:type="dxa"/>
              <w:bottom w:w="100" w:type="dxa"/>
              <w:left w:w="100" w:type="dxa"/>
              <w:right w:w="100" w:type="dxa"/>
            </w:tcMar>
          </w:tcPr>
          <w:p>
            <w:r>
              <w:rPr>
                <w:rFonts w:ascii="Arial" w:hAnsi="Arial"/>
                <w:sz w:val="19"/>
              </w:rPr>
              <w:t>Tier 2 Preferred Account</w:t>
            </w:r>
          </w:p>
        </w:tc>
        <w:tc>
          <w:tcPr>
            <w:tcW w:type="dxa" w:w="1872"/>
            <w:shd w:fill="FFFFFF"/>
            <w:tcMar>
              <w:top w:w="100" w:type="dxa"/>
              <w:bottom w:w="100" w:type="dxa"/>
              <w:left w:w="100" w:type="dxa"/>
              <w:right w:w="100" w:type="dxa"/>
            </w:tcMar>
          </w:tcPr>
          <w:p>
            <w:r>
              <w:rPr>
                <w:rFonts w:ascii="Arial" w:hAnsi="Arial"/>
                <w:sz w:val="19"/>
              </w:rPr>
              <w:t>0% Advance Required</w:t>
            </w:r>
          </w:p>
        </w:tc>
        <w:tc>
          <w:tcPr>
            <w:tcW w:type="dxa" w:w="1872"/>
            <w:shd w:fill="FFFFFF"/>
            <w:tcMar>
              <w:top w:w="100" w:type="dxa"/>
              <w:bottom w:w="100" w:type="dxa"/>
              <w:left w:w="100" w:type="dxa"/>
              <w:right w:w="100" w:type="dxa"/>
            </w:tcMar>
          </w:tcPr>
          <w:p>
            <w:r>
              <w:rPr>
                <w:rFonts w:ascii="Arial" w:hAnsi="Arial"/>
                <w:sz w:val="19"/>
              </w:rPr>
              <w:t>Net 60 Days</w:t>
            </w:r>
          </w:p>
        </w:tc>
        <w:tc>
          <w:tcPr>
            <w:tcW w:type="dxa" w:w="1872"/>
            <w:shd w:fill="FFFFFF"/>
            <w:tcMar>
              <w:top w:w="100" w:type="dxa"/>
              <w:bottom w:w="100" w:type="dxa"/>
              <w:left w:w="100" w:type="dxa"/>
              <w:right w:w="100" w:type="dxa"/>
            </w:tcMar>
          </w:tcPr>
          <w:p>
            <w:r>
              <w:rPr>
                <w:rFonts w:ascii="Arial" w:hAnsi="Arial"/>
                <w:sz w:val="19"/>
              </w:rPr>
              <w:t>$750,000 USD</w:t>
            </w:r>
          </w:p>
        </w:tc>
        <w:tc>
          <w:tcPr>
            <w:tcW w:type="dxa" w:w="1872"/>
            <w:shd w:fill="FFFFFF"/>
            <w:tcMar>
              <w:top w:w="100" w:type="dxa"/>
              <w:bottom w:w="100" w:type="dxa"/>
              <w:left w:w="100" w:type="dxa"/>
              <w:right w:w="100" w:type="dxa"/>
            </w:tcMar>
          </w:tcPr>
          <w:p>
            <w:r>
              <w:rPr>
                <w:rFonts w:ascii="Arial" w:hAnsi="Arial"/>
                <w:sz w:val="19"/>
              </w:rPr>
              <w:t>Active relationship &gt; 3 years; annual purchasing volume exceeding $1M.</w:t>
            </w:r>
          </w:p>
        </w:tc>
      </w:tr>
      <w:tr>
        <w:tc>
          <w:tcPr>
            <w:tcW w:type="dxa" w:w="1872"/>
            <w:shd w:fill="F7FAFC"/>
            <w:tcMar>
              <w:top w:w="100" w:type="dxa"/>
              <w:bottom w:w="100" w:type="dxa"/>
              <w:left w:w="100" w:type="dxa"/>
              <w:right w:w="100" w:type="dxa"/>
            </w:tcMar>
          </w:tcPr>
          <w:p>
            <w:r>
              <w:rPr>
                <w:rFonts w:ascii="Arial" w:hAnsi="Arial"/>
                <w:sz w:val="19"/>
              </w:rPr>
              <w:t>Tier 1 Strategic Partner</w:t>
            </w:r>
          </w:p>
        </w:tc>
        <w:tc>
          <w:tcPr>
            <w:tcW w:type="dxa" w:w="1872"/>
            <w:shd w:fill="F7FAFC"/>
            <w:tcMar>
              <w:top w:w="100" w:type="dxa"/>
              <w:bottom w:w="100" w:type="dxa"/>
              <w:left w:w="100" w:type="dxa"/>
              <w:right w:w="100" w:type="dxa"/>
            </w:tcMar>
          </w:tcPr>
          <w:p>
            <w:r>
              <w:rPr>
                <w:rFonts w:ascii="Arial" w:hAnsi="Arial"/>
                <w:sz w:val="19"/>
              </w:rPr>
              <w:t>0% Advance Required</w:t>
            </w:r>
          </w:p>
        </w:tc>
        <w:tc>
          <w:tcPr>
            <w:tcW w:type="dxa" w:w="1872"/>
            <w:shd w:fill="F7FAFC"/>
            <w:tcMar>
              <w:top w:w="100" w:type="dxa"/>
              <w:bottom w:w="100" w:type="dxa"/>
              <w:left w:w="100" w:type="dxa"/>
              <w:right w:w="100" w:type="dxa"/>
            </w:tcMar>
          </w:tcPr>
          <w:p>
            <w:r>
              <w:rPr>
                <w:rFonts w:ascii="Arial" w:hAnsi="Arial"/>
                <w:sz w:val="19"/>
              </w:rPr>
              <w:t>Net 90 Days</w:t>
            </w:r>
          </w:p>
        </w:tc>
        <w:tc>
          <w:tcPr>
            <w:tcW w:type="dxa" w:w="1872"/>
            <w:shd w:fill="F7FAFC"/>
            <w:tcMar>
              <w:top w:w="100" w:type="dxa"/>
              <w:bottom w:w="100" w:type="dxa"/>
              <w:left w:w="100" w:type="dxa"/>
              <w:right w:w="100" w:type="dxa"/>
            </w:tcMar>
          </w:tcPr>
          <w:p>
            <w:r>
              <w:rPr>
                <w:rFonts w:ascii="Arial" w:hAnsi="Arial"/>
                <w:sz w:val="19"/>
              </w:rPr>
              <w:t>Above $750,000 USD (Requires CFO Sign-off)</w:t>
            </w:r>
          </w:p>
        </w:tc>
        <w:tc>
          <w:tcPr>
            <w:tcW w:type="dxa" w:w="1872"/>
            <w:shd w:fill="F7FAFC"/>
            <w:tcMar>
              <w:top w:w="100" w:type="dxa"/>
              <w:bottom w:w="100" w:type="dxa"/>
              <w:left w:w="100" w:type="dxa"/>
              <w:right w:w="100" w:type="dxa"/>
            </w:tcMar>
          </w:tcPr>
          <w:p>
            <w:r>
              <w:rPr>
                <w:rFonts w:ascii="Arial" w:hAnsi="Arial"/>
                <w:sz w:val="19"/>
              </w:rPr>
              <w:t>Global distributors or strategic OEMs with specific board approval.</w:t>
            </w:r>
          </w:p>
        </w:tc>
      </w:tr>
    </w:tbl>
    <w:p>
      <w:pPr>
        <w:spacing w:after="240"/>
      </w:pPr>
    </w:p>
    <w:p>
      <w:pPr>
        <w:pStyle w:val="Heading1"/>
        <w:keepNext/>
        <w:spacing w:before="240" w:after="120"/>
        <w:pBdr>
          <w:bottom w:val="single" w:sz="6" w:space="4" w:color="A0AEC0"/>
        </w:pBdr>
      </w:pPr>
      <w:r>
        <w:rPr>
          <w:rFonts w:ascii="Arial" w:hAnsi="Arial"/>
          <w:color w:val="1A365D"/>
          <w:sz w:val="28"/>
        </w:rPr>
        <w:t>3. Exception Handling and Special Approval Workflow</w:t>
      </w:r>
    </w:p>
    <w:p>
      <w:r>
        <w:t>Sales representatives are strictly prohibited from promising or offering payment terms or credit boundaries that deviate from the standard matrix above without formal electronic approval before contract signatures. Any requested deviation (e.g., a new customer requesting Net 90 days or a request to bypass the 30% advance downpayment) must undergo the strict escalation workflow below:</w:t>
      </w:r>
    </w:p>
    <w:p>
      <w:pPr>
        <w:pStyle w:val="ListBullet"/>
      </w:pPr>
      <w:r>
        <w:rPr>
          <w:rFonts w:ascii="Arial" w:hAnsi="Arial"/>
          <w:b/>
        </w:rPr>
        <w:t xml:space="preserve">Credit Extensions Up to 15% Over Limit / Move to Next Term Level: </w:t>
      </w:r>
      <w:r>
        <w:rPr>
          <w:rFonts w:ascii="Arial" w:hAnsi="Arial"/>
        </w:rPr>
        <w:t>Requires formal recommendation from the Regional Sales Director and final digital sign-off from the Corporate Risk &amp; Credit Manager.</w:t>
      </w:r>
    </w:p>
    <w:p>
      <w:pPr>
        <w:pStyle w:val="ListBullet"/>
      </w:pPr>
      <w:r>
        <w:rPr>
          <w:rFonts w:ascii="Arial" w:hAnsi="Arial"/>
          <w:b/>
        </w:rPr>
        <w:t xml:space="preserve">Credit Extensions Above 15% or Long-term Net 90 Extensions: </w:t>
      </w:r>
      <w:r>
        <w:rPr>
          <w:rFonts w:ascii="Arial" w:hAnsi="Arial"/>
        </w:rPr>
        <w:t>Requires detailed commercial justification via the Corporate Risk Assessment Portal, endorsed by the VP of Sales, and finalized via explicit sign-off from the Chief Financial Officer (CFO).</w:t>
      </w:r>
    </w:p>
    <w:p>
      <w:pPr>
        <w:pStyle w:val="Heading1"/>
        <w:keepNext/>
        <w:spacing w:before="240" w:after="120"/>
        <w:pBdr>
          <w:bottom w:val="single" w:sz="6" w:space="4" w:color="A0AEC0"/>
        </w:pBdr>
      </w:pPr>
      <w:r>
        <w:rPr>
          <w:rFonts w:ascii="Arial" w:hAnsi="Arial"/>
          <w:color w:val="1A365D"/>
          <w:sz w:val="28"/>
        </w:rPr>
        <w:t>4. Compliance, Auditing, and Sales Sanctions</w:t>
      </w:r>
    </w:p>
    <w:p>
      <w:r>
        <w:t>The Corporate Finance and Auditing Team shall conduct bi-weekly automated sweeps of outstanding accounts receivable. If a sales representative authorizes shipment of inventory to a customer whose account is past due or whose total exposure breaches the assigned limit without an active system override ticket, the following corporate measures will be enforced immediately:</w:t>
      </w:r>
    </w:p>
    <w:p>
      <w:r>
        <w:t>• Immediate freezing of the customer's shipping portal and holds on all pending orders.</w:t>
      </w:r>
    </w:p>
    <w:p>
      <w:r>
        <w:t>• Forfeiture of the sales representative's performance commission for the affected invoice transaction.</w:t>
      </w:r>
    </w:p>
    <w:p>
      <w:r>
        <w:t>• Formal compliance review by the Risk Committee, which may result in disciplinary write-ups or termination of employment for repeat offenders.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