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Arial" w:hAnsi="Arial"/>
          <w:b/>
          <w:color w:val="2C7A7B"/>
          <w:sz w:val="36"/>
        </w:rPr>
        <w:t>ADVENTURE WORKS CYCLES</w:t>
        <w:br/>
        <w:t>LARGE TRANSACTION &amp; SPECIAL SETTLEMENT COMPLIANCE REGULATION</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100" w:type="dxa"/>
              <w:right w:w="100" w:type="dxa"/>
            </w:tcMar>
          </w:tcPr>
          <w:p>
            <w:r>
              <w:rPr>
                <w:rFonts w:ascii="Arial" w:hAnsi="Arial"/>
                <w:b/>
                <w:sz w:val="20"/>
              </w:rPr>
              <w:t>Regulation ID:</w:t>
            </w:r>
          </w:p>
        </w:tc>
        <w:tc>
          <w:tcPr>
            <w:tcW w:type="dxa" w:w="4680"/>
            <w:tcMar>
              <w:top w:w="60" w:type="dxa"/>
              <w:bottom w:w="60" w:type="dxa"/>
              <w:left w:w="100" w:type="dxa"/>
              <w:right w:w="100" w:type="dxa"/>
            </w:tcMar>
          </w:tcPr>
          <w:p>
            <w:r>
              <w:rPr>
                <w:rFonts w:ascii="Arial" w:hAnsi="Arial"/>
                <w:sz w:val="20"/>
              </w:rPr>
              <w:t>AW-COMP-REG-014</w:t>
            </w:r>
          </w:p>
        </w:tc>
      </w:tr>
      <w:tr>
        <w:tc>
          <w:tcPr>
            <w:tcW w:type="dxa" w:w="4680"/>
            <w:tcMar>
              <w:top w:w="60" w:type="dxa"/>
              <w:bottom w:w="60" w:type="dxa"/>
              <w:left w:w="100" w:type="dxa"/>
              <w:right w:w="100" w:type="dxa"/>
            </w:tcMar>
          </w:tcPr>
          <w:p>
            <w:r>
              <w:rPr>
                <w:rFonts w:ascii="Arial" w:hAnsi="Arial"/>
                <w:b/>
                <w:sz w:val="20"/>
              </w:rPr>
              <w:t>Effective Date:</w:t>
            </w:r>
          </w:p>
        </w:tc>
        <w:tc>
          <w:tcPr>
            <w:tcW w:type="dxa" w:w="4680"/>
            <w:tcMar>
              <w:top w:w="60" w:type="dxa"/>
              <w:bottom w:w="60" w:type="dxa"/>
              <w:left w:w="100" w:type="dxa"/>
              <w:right w:w="100" w:type="dxa"/>
            </w:tcMar>
          </w:tcPr>
          <w:p>
            <w:r>
              <w:rPr>
                <w:rFonts w:ascii="Arial" w:hAnsi="Arial"/>
                <w:sz w:val="20"/>
              </w:rPr>
              <w:t>July 1, 2026</w:t>
            </w:r>
          </w:p>
        </w:tc>
      </w:tr>
      <w:tr>
        <w:tc>
          <w:tcPr>
            <w:tcW w:type="dxa" w:w="4680"/>
            <w:tcMar>
              <w:top w:w="60" w:type="dxa"/>
              <w:bottom w:w="60" w:type="dxa"/>
              <w:left w:w="100" w:type="dxa"/>
              <w:right w:w="100" w:type="dxa"/>
            </w:tcMar>
          </w:tcPr>
          <w:p>
            <w:r>
              <w:rPr>
                <w:rFonts w:ascii="Arial" w:hAnsi="Arial"/>
                <w:b/>
                <w:sz w:val="20"/>
              </w:rPr>
              <w:t>Approved By:</w:t>
            </w:r>
          </w:p>
        </w:tc>
        <w:tc>
          <w:tcPr>
            <w:tcW w:type="dxa" w:w="4680"/>
            <w:tcMar>
              <w:top w:w="60" w:type="dxa"/>
              <w:bottom w:w="60" w:type="dxa"/>
              <w:left w:w="100" w:type="dxa"/>
              <w:right w:w="100" w:type="dxa"/>
            </w:tcMar>
          </w:tcPr>
          <w:p>
            <w:r>
              <w:rPr>
                <w:rFonts w:ascii="Arial" w:hAnsi="Arial"/>
                <w:sz w:val="20"/>
              </w:rPr>
              <w:t>General Counsel, Chief Compliance Officer, &amp; VP of Treasury</w:t>
            </w:r>
          </w:p>
        </w:tc>
      </w:tr>
      <w:tr>
        <w:tc>
          <w:tcPr>
            <w:tcW w:type="dxa" w:w="4680"/>
            <w:tcMar>
              <w:top w:w="60" w:type="dxa"/>
              <w:bottom w:w="60" w:type="dxa"/>
              <w:left w:w="100" w:type="dxa"/>
              <w:right w:w="100" w:type="dxa"/>
            </w:tcMar>
          </w:tcPr>
          <w:p>
            <w:r>
              <w:rPr>
                <w:rFonts w:ascii="Arial" w:hAnsi="Arial"/>
                <w:b/>
                <w:sz w:val="20"/>
              </w:rPr>
              <w:t>Applicable To:</w:t>
            </w:r>
          </w:p>
        </w:tc>
        <w:tc>
          <w:tcPr>
            <w:tcW w:type="dxa" w:w="4680"/>
            <w:tcMar>
              <w:top w:w="60" w:type="dxa"/>
              <w:bottom w:w="60" w:type="dxa"/>
              <w:left w:w="100" w:type="dxa"/>
              <w:right w:w="100" w:type="dxa"/>
            </w:tcMar>
          </w:tcPr>
          <w:p>
            <w:r>
              <w:rPr>
                <w:rFonts w:ascii="Arial" w:hAnsi="Arial"/>
                <w:sz w:val="20"/>
              </w:rPr>
              <w:t>International Sales Teams, Treasury, Logistics, Operations</w:t>
            </w:r>
          </w:p>
        </w:tc>
      </w:tr>
    </w:tbl>
    <w:p>
      <w:pPr>
        <w:spacing w:after="240"/>
      </w:pPr>
    </w:p>
    <w:p>
      <w:pPr>
        <w:pStyle w:val="Heading1"/>
        <w:keepNext/>
        <w:spacing w:before="240" w:after="120"/>
        <w:pBdr>
          <w:bottom w:val="single" w:sz="6" w:space="4" w:color="CBD5E0"/>
        </w:pBdr>
      </w:pPr>
      <w:r>
        <w:rPr>
          <w:rFonts w:ascii="Arial" w:hAnsi="Arial"/>
          <w:color w:val="2C7A7B"/>
          <w:sz w:val="28"/>
        </w:rPr>
        <w:t>1. Objective and Regulatory Background</w:t>
      </w:r>
    </w:p>
    <w:p>
      <w:r>
        <w:t>As an international market leader in premium bicycles and accessories, Adventure Works Cycles engages in cross-border volume transactions that introduce operational, financial, and legal complexities. The purpose of this regulation is to tightly control high-value bulk purchases and specify acceptable financial settlement methodologies. This policy aligns with international Anti-Money Laundering (AML) standards, Counter-Terrorism Financing (CTF) frameworks, and foreign exchange volatility control protocols.</w:t>
      </w:r>
    </w:p>
    <w:p>
      <w:pPr>
        <w:pStyle w:val="Heading1"/>
        <w:keepNext/>
        <w:spacing w:before="240" w:after="120"/>
        <w:pBdr>
          <w:bottom w:val="single" w:sz="6" w:space="4" w:color="CBD5E0"/>
        </w:pBdr>
      </w:pPr>
      <w:r>
        <w:rPr>
          <w:rFonts w:ascii="Arial" w:hAnsi="Arial"/>
          <w:color w:val="2C7A7B"/>
          <w:sz w:val="28"/>
        </w:rPr>
        <w:t>2. Approved and Restricted Settlement Methods</w:t>
      </w:r>
    </w:p>
    <w:p>
      <w:r>
        <w:t>To safeguard the company against transaction defaults, fraud, and bank clearing issues, the following definitions and compliance standards apply to all financial instruments used by buyers:</w:t>
      </w:r>
    </w:p>
    <w:tbl>
      <w:tblPr>
        <w:tblW w:type="auto" w:w="0"/>
        <w:jc w:val="center"/>
        <w:tblLook w:firstColumn="1" w:firstRow="1" w:lastColumn="0" w:lastRow="0" w:noHBand="0" w:noVBand="1" w:val="04A0"/>
      </w:tblPr>
      <w:tblGrid>
        <w:gridCol w:w="3120"/>
        <w:gridCol w:w="3120"/>
        <w:gridCol w:w="3120"/>
      </w:tblGrid>
      <w:tr>
        <w:tc>
          <w:tcPr>
            <w:tcW w:type="dxa" w:w="3120"/>
            <w:shd w:fill="2C7A7B"/>
            <w:tcMar>
              <w:top w:w="120" w:type="dxa"/>
              <w:bottom w:w="120" w:type="dxa"/>
              <w:left w:w="100" w:type="dxa"/>
              <w:right w:w="100" w:type="dxa"/>
            </w:tcMar>
          </w:tcPr>
          <w:p>
            <w:pPr>
              <w:jc w:val="center"/>
            </w:pPr>
            <w:r>
              <w:rPr>
                <w:rFonts w:ascii="Arial" w:hAnsi="Arial"/>
                <w:b/>
                <w:color w:val="FFFFFF"/>
                <w:sz w:val="20"/>
              </w:rPr>
              <w:t>Settlement Method</w:t>
            </w:r>
          </w:p>
        </w:tc>
        <w:tc>
          <w:tcPr>
            <w:tcW w:type="dxa" w:w="3120"/>
            <w:shd w:fill="2C7A7B"/>
            <w:tcMar>
              <w:top w:w="120" w:type="dxa"/>
              <w:bottom w:w="120" w:type="dxa"/>
              <w:left w:w="100" w:type="dxa"/>
              <w:right w:w="100" w:type="dxa"/>
            </w:tcMar>
          </w:tcPr>
          <w:p>
            <w:pPr>
              <w:jc w:val="center"/>
            </w:pPr>
            <w:r>
              <w:rPr>
                <w:rFonts w:ascii="Arial" w:hAnsi="Arial"/>
                <w:b/>
                <w:color w:val="FFFFFF"/>
                <w:sz w:val="20"/>
              </w:rPr>
              <w:t>Compliance Status</w:t>
            </w:r>
          </w:p>
        </w:tc>
        <w:tc>
          <w:tcPr>
            <w:tcW w:type="dxa" w:w="3120"/>
            <w:shd w:fill="2C7A7B"/>
            <w:tcMar>
              <w:top w:w="120" w:type="dxa"/>
              <w:bottom w:w="120" w:type="dxa"/>
              <w:left w:w="100" w:type="dxa"/>
              <w:right w:w="100" w:type="dxa"/>
            </w:tcMar>
          </w:tcPr>
          <w:p>
            <w:pPr>
              <w:jc w:val="center"/>
            </w:pPr>
            <w:r>
              <w:rPr>
                <w:rFonts w:ascii="Arial" w:hAnsi="Arial"/>
                <w:b/>
                <w:color w:val="FFFFFF"/>
                <w:sz w:val="20"/>
              </w:rPr>
              <w:t>Mandatory Risk Controls &amp; Protocols</w:t>
            </w:r>
          </w:p>
        </w:tc>
      </w:tr>
      <w:tr>
        <w:tc>
          <w:tcPr>
            <w:tcW w:type="dxa" w:w="3120"/>
            <w:shd w:fill="FFFFFF"/>
            <w:tcMar>
              <w:top w:w="100" w:type="dxa"/>
              <w:bottom w:w="100" w:type="dxa"/>
              <w:left w:w="100" w:type="dxa"/>
              <w:right w:w="100" w:type="dxa"/>
            </w:tcMar>
          </w:tcPr>
          <w:p>
            <w:r>
              <w:rPr>
                <w:rFonts w:ascii="Arial" w:hAnsi="Arial"/>
                <w:sz w:val="19"/>
              </w:rPr>
              <w:t>Telegraphic Transfer / Wire Transfer (T/T)</w:t>
            </w:r>
          </w:p>
        </w:tc>
        <w:tc>
          <w:tcPr>
            <w:tcW w:type="dxa" w:w="3120"/>
            <w:shd w:fill="FFFFFF"/>
            <w:tcMar>
              <w:top w:w="100" w:type="dxa"/>
              <w:bottom w:w="100" w:type="dxa"/>
              <w:left w:w="100" w:type="dxa"/>
              <w:right w:w="100" w:type="dxa"/>
            </w:tcMar>
          </w:tcPr>
          <w:p>
            <w:r>
              <w:rPr>
                <w:rFonts w:ascii="Arial" w:hAnsi="Arial"/>
                <w:sz w:val="19"/>
              </w:rPr>
              <w:t>Standard / Highly Approved</w:t>
            </w:r>
          </w:p>
        </w:tc>
        <w:tc>
          <w:tcPr>
            <w:tcW w:type="dxa" w:w="3120"/>
            <w:shd w:fill="FFFFFF"/>
            <w:tcMar>
              <w:top w:w="100" w:type="dxa"/>
              <w:bottom w:w="100" w:type="dxa"/>
              <w:left w:w="100" w:type="dxa"/>
              <w:right w:w="100" w:type="dxa"/>
            </w:tcMar>
          </w:tcPr>
          <w:p>
            <w:r>
              <w:rPr>
                <w:rFonts w:ascii="Arial" w:hAnsi="Arial"/>
                <w:sz w:val="19"/>
              </w:rPr>
              <w:t>Funds must originate from a verified corporate bank account under the identical legal entity name matching the sales contract. No third-party payments allowed.</w:t>
            </w:r>
          </w:p>
        </w:tc>
      </w:tr>
      <w:tr>
        <w:tc>
          <w:tcPr>
            <w:tcW w:type="dxa" w:w="3120"/>
            <w:shd w:fill="EDF2F7"/>
            <w:tcMar>
              <w:top w:w="100" w:type="dxa"/>
              <w:bottom w:w="100" w:type="dxa"/>
              <w:left w:w="100" w:type="dxa"/>
              <w:right w:w="100" w:type="dxa"/>
            </w:tcMar>
          </w:tcPr>
          <w:p>
            <w:r>
              <w:rPr>
                <w:rFonts w:ascii="Arial" w:hAnsi="Arial"/>
                <w:sz w:val="19"/>
              </w:rPr>
              <w:t>Documentary Letters of Credit (L/C)</w:t>
            </w:r>
          </w:p>
        </w:tc>
        <w:tc>
          <w:tcPr>
            <w:tcW w:type="dxa" w:w="3120"/>
            <w:shd w:fill="EDF2F7"/>
            <w:tcMar>
              <w:top w:w="100" w:type="dxa"/>
              <w:bottom w:w="100" w:type="dxa"/>
              <w:left w:w="100" w:type="dxa"/>
              <w:right w:w="100" w:type="dxa"/>
            </w:tcMar>
          </w:tcPr>
          <w:p>
            <w:r>
              <w:rPr>
                <w:rFonts w:ascii="Arial" w:hAnsi="Arial"/>
                <w:sz w:val="19"/>
              </w:rPr>
              <w:t>Approved for Global Orders &gt; $250k</w:t>
            </w:r>
          </w:p>
        </w:tc>
        <w:tc>
          <w:tcPr>
            <w:tcW w:type="dxa" w:w="3120"/>
            <w:shd w:fill="EDF2F7"/>
            <w:tcMar>
              <w:top w:w="100" w:type="dxa"/>
              <w:bottom w:w="100" w:type="dxa"/>
              <w:left w:w="100" w:type="dxa"/>
              <w:right w:w="100" w:type="dxa"/>
            </w:tcMar>
          </w:tcPr>
          <w:p>
            <w:r>
              <w:rPr>
                <w:rFonts w:ascii="Arial" w:hAnsi="Arial"/>
                <w:sz w:val="19"/>
              </w:rPr>
              <w:t>Must be issued as an Irrevocable Letter of Credit confirmed by a top-tier international financial institution. Subject to pre-clearance by Treasury Operations.</w:t>
            </w:r>
          </w:p>
        </w:tc>
      </w:tr>
      <w:tr>
        <w:tc>
          <w:tcPr>
            <w:tcW w:type="dxa" w:w="3120"/>
            <w:shd w:fill="FFFFFF"/>
            <w:tcMar>
              <w:top w:w="100" w:type="dxa"/>
              <w:bottom w:w="100" w:type="dxa"/>
              <w:left w:w="100" w:type="dxa"/>
              <w:right w:w="100" w:type="dxa"/>
            </w:tcMar>
          </w:tcPr>
          <w:p>
            <w:r>
              <w:rPr>
                <w:rFonts w:ascii="Arial" w:hAnsi="Arial"/>
                <w:sz w:val="19"/>
              </w:rPr>
              <w:t>Bank Acceptance Drafts / Commercial Paper</w:t>
            </w:r>
          </w:p>
        </w:tc>
        <w:tc>
          <w:tcPr>
            <w:tcW w:type="dxa" w:w="3120"/>
            <w:shd w:fill="FFFFFF"/>
            <w:tcMar>
              <w:top w:w="100" w:type="dxa"/>
              <w:bottom w:w="100" w:type="dxa"/>
              <w:left w:w="100" w:type="dxa"/>
              <w:right w:w="100" w:type="dxa"/>
            </w:tcMar>
          </w:tcPr>
          <w:p>
            <w:r>
              <w:rPr>
                <w:rFonts w:ascii="Arial" w:hAnsi="Arial"/>
                <w:sz w:val="19"/>
              </w:rPr>
              <w:t>Restricted / Conditional Approval</w:t>
            </w:r>
          </w:p>
        </w:tc>
        <w:tc>
          <w:tcPr>
            <w:tcW w:type="dxa" w:w="3120"/>
            <w:shd w:fill="FFFFFF"/>
            <w:tcMar>
              <w:top w:w="100" w:type="dxa"/>
              <w:bottom w:w="100" w:type="dxa"/>
              <w:left w:w="100" w:type="dxa"/>
              <w:right w:w="100" w:type="dxa"/>
            </w:tcMar>
          </w:tcPr>
          <w:p>
            <w:r>
              <w:rPr>
                <w:rFonts w:ascii="Arial" w:hAnsi="Arial"/>
                <w:sz w:val="19"/>
              </w:rPr>
              <w:t>Only accepted within specific domestic jurisdictions from AAA-rated banks. Must be verified and cleared by Corporate Treasury before order release.</w:t>
            </w:r>
          </w:p>
        </w:tc>
      </w:tr>
      <w:tr>
        <w:tc>
          <w:tcPr>
            <w:tcW w:type="dxa" w:w="3120"/>
            <w:shd w:fill="EDF2F7"/>
            <w:tcMar>
              <w:top w:w="100" w:type="dxa"/>
              <w:bottom w:w="100" w:type="dxa"/>
              <w:left w:w="100" w:type="dxa"/>
              <w:right w:w="100" w:type="dxa"/>
            </w:tcMar>
          </w:tcPr>
          <w:p>
            <w:r>
              <w:rPr>
                <w:rFonts w:ascii="Arial" w:hAnsi="Arial"/>
                <w:sz w:val="19"/>
              </w:rPr>
              <w:t>Corporate Cheques (Checks)</w:t>
            </w:r>
          </w:p>
        </w:tc>
        <w:tc>
          <w:tcPr>
            <w:tcW w:type="dxa" w:w="3120"/>
            <w:shd w:fill="EDF2F7"/>
            <w:tcMar>
              <w:top w:w="100" w:type="dxa"/>
              <w:bottom w:w="100" w:type="dxa"/>
              <w:left w:w="100" w:type="dxa"/>
              <w:right w:w="100" w:type="dxa"/>
            </w:tcMar>
          </w:tcPr>
          <w:p>
            <w:r>
              <w:rPr>
                <w:rFonts w:ascii="Arial" w:hAnsi="Arial"/>
                <w:sz w:val="19"/>
              </w:rPr>
              <w:t>Strictly Prohibited for Bulk Supply</w:t>
            </w:r>
          </w:p>
        </w:tc>
        <w:tc>
          <w:tcPr>
            <w:tcW w:type="dxa" w:w="3120"/>
            <w:shd w:fill="EDF2F7"/>
            <w:tcMar>
              <w:top w:w="100" w:type="dxa"/>
              <w:bottom w:w="100" w:type="dxa"/>
              <w:left w:w="100" w:type="dxa"/>
              <w:right w:w="100" w:type="dxa"/>
            </w:tcMar>
          </w:tcPr>
          <w:p>
            <w:r>
              <w:rPr>
                <w:rFonts w:ascii="Arial" w:hAnsi="Arial"/>
                <w:sz w:val="19"/>
              </w:rPr>
              <w:t>Not accepted for large transactions due to severe clearings delays and bounce risks. Banned for global distributors without a valid corporate waiver document.</w:t>
            </w:r>
          </w:p>
        </w:tc>
      </w:tr>
    </w:tbl>
    <w:p>
      <w:pPr>
        <w:spacing w:after="240"/>
      </w:pPr>
    </w:p>
    <w:p>
      <w:pPr>
        <w:pStyle w:val="Heading1"/>
        <w:keepNext/>
        <w:spacing w:before="240" w:after="120"/>
        <w:pBdr>
          <w:bottom w:val="single" w:sz="6" w:space="4" w:color="CBD5E0"/>
        </w:pBdr>
      </w:pPr>
      <w:r>
        <w:rPr>
          <w:rFonts w:ascii="Arial" w:hAnsi="Arial"/>
          <w:color w:val="2C7A7B"/>
          <w:sz w:val="28"/>
        </w:rPr>
        <w:t>3. Foreign Exchange (FX) and Currency Settlement Compliance</w:t>
      </w:r>
    </w:p>
    <w:p>
      <w:r>
        <w:t>All Master Sales Agreements executed globally by Adventure Works Cycles must explicitly denote the settlement currency. The authorized framework consists of the following parameters:</w:t>
      </w:r>
    </w:p>
    <w:p>
      <w:r>
        <w:rPr>
          <w:rFonts w:ascii="Arial" w:hAnsi="Arial"/>
          <w:b/>
        </w:rPr>
        <w:t xml:space="preserve">• Base Standard Settlement Currency: </w:t>
      </w:r>
      <w:r>
        <w:rPr>
          <w:rFonts w:ascii="Arial" w:hAnsi="Arial"/>
        </w:rPr>
        <w:t>United States Dollar (USD) serves as the primary currency for all international invoices to streamline treasury aggregation.</w:t>
      </w:r>
    </w:p>
    <w:p>
      <w:r>
        <w:rPr>
          <w:rFonts w:ascii="Arial" w:hAnsi="Arial"/>
          <w:b/>
        </w:rPr>
        <w:t xml:space="preserve">• Approved Regional Currencies: </w:t>
      </w:r>
      <w:r>
        <w:rPr>
          <w:rFonts w:ascii="Arial" w:hAnsi="Arial"/>
        </w:rPr>
        <w:t>Transactions executed in Euro (EUR), Australian Dollar (AUD), British Pound (GBP), or Canadian Dollar (CAD) are allowed only if structured using standard price lists indexed dynamically to the corporate monthly treasury rate.</w:t>
      </w:r>
    </w:p>
    <w:p>
      <w:r>
        <w:rPr>
          <w:rFonts w:ascii="Arial" w:hAnsi="Arial"/>
          <w:b/>
        </w:rPr>
        <w:t xml:space="preserve">• FX Volatility Risk Mitigation: </w:t>
      </w:r>
      <w:r>
        <w:rPr>
          <w:rFonts w:ascii="Arial" w:hAnsi="Arial"/>
        </w:rPr>
        <w:t>For any multi-year supply contract exceeding $1,000,000 USD invoiced in non-USD currency, a mandatory Forex Hedging and Currency Risk clause must be integrated, requiring a price adjustment review if the currency fluctuates by more than 3% against the USD.</w:t>
      </w:r>
    </w:p>
    <w:p>
      <w:pPr>
        <w:pStyle w:val="Heading1"/>
        <w:keepNext/>
        <w:spacing w:before="240" w:after="120"/>
        <w:pBdr>
          <w:bottom w:val="single" w:sz="6" w:space="4" w:color="CBD5E0"/>
        </w:pBdr>
      </w:pPr>
      <w:r>
        <w:rPr>
          <w:rFonts w:ascii="Arial" w:hAnsi="Arial"/>
          <w:color w:val="2C7A7B"/>
          <w:sz w:val="28"/>
        </w:rPr>
        <w:t>4. Verification and Anti-Money Laundering (AML) Controls</w:t>
      </w:r>
    </w:p>
    <w:p>
      <w:r>
        <w:t>Before any large-scale or multi-container shipment leaves the warehouse, the Global Compliance Office must complete a Know Your Customer (KYC) audit. Sales professionals are expressly forbidden from accepting payments from offshore entities, shell companies, or unverified bank routing codes. Failure to report unusual or highly structured payment distributions constitutes a direct breach of corporate responsibility and will be escalated to the Internal Audit Board.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