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c968b47dd1d5abc183f978468e729cfdbeccc75"/>
    <w:p>
      <w:pPr>
        <w:pStyle w:val="Heading1"/>
      </w:pPr>
      <w:r>
        <w:t xml:space="preserve">Edge AI &amp; Model Compression on inGen’s Physical AI Platforms</w:t>
      </w:r>
    </w:p>
    <w:p>
      <w:pPr>
        <w:pStyle w:val="FirstParagraph"/>
      </w:pPr>
      <w:r>
        <w:rPr>
          <w:bCs/>
          <w:b/>
        </w:rPr>
        <w:t>W04 Capstone Report — v1.0 (final review: 2026-08-03)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Siyu Xiang · Edge AI &amp; Model Compression Intern</w:t>
      </w:r>
      <w:r>
        <w:t xml:space="preserve"> </w:t>
      </w:r>
      <w:r>
        <w:rPr>
          <w:bCs/>
          <w:b/>
        </w:rPr>
        <w:t xml:space="preserve">Supervisor:</w:t>
      </w:r>
      <w:r>
        <w:t xml:space="preserve"> </w:t>
      </w:r>
      <w:r>
        <w:t xml:space="preserve">Iqbal Patel · inGen Dynamics</w:t>
      </w:r>
      <w:r>
        <w:t xml:space="preserve"> </w:t>
      </w:r>
      <w:r>
        <w:rPr>
          <w:bCs/>
          <w:b/>
        </w:rPr>
        <w:t xml:space="preserve">Program:</w:t>
      </w:r>
      <w:r>
        <w:t xml:space="preserve"> </w:t>
      </w:r>
      <w:r>
        <w:t xml:space="preserve">4-week remote internship · Repository:</w:t>
      </w:r>
      <w:r>
        <w:t xml:space="preserve"> </w:t>
      </w:r>
      <w:r>
        <w:rPr>
          <w:rStyle w:val="VerbatimChar"/>
        </w:rPr>
        <w:t xml:space="preserve">syyovo/siyu-ingen-edge-ai</w:t>
      </w:r>
      <w:r>
        <w:t xml:space="preserve"> </w:t>
      </w:r>
      <w:r>
        <w:t xml:space="preserve">(v1.0)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Quantization, structured pruning, knowledge distillation, and a GA micro-NAS sketch on a MobileNetV3-Small / CIFAR-10 baseline, benchmarked against the deployment budgets of inGen’s five physical AI platforms.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inGen’s platforms run AI on-device, on embedded CPUs without GPUs, so every model must fit a per-platform size budget and a per-platform latency budget. Over three experimental weeks plus a Week-4 verification run, this project benchmarked the three post-training compression families — quantization, structured pruning, and knowledge distillation — plus a genetic-algorithm architecture micro-search, all on one fine-tuned MobileNetV3-Small / CIFAR-10 baseline (93.38% accuracy / 6.24 MB / ~38 ms CPU latency in clean sessions), under a fixed measurement protocol (seed 42, CPU-only, batch size 1, 10 warm-up + 100 timed runs, full 10k test split). Three findings matter most for the PIC 2.0 deployment stack.</w:t>
      </w:r>
    </w:p>
    <w:p>
      <w:pPr>
        <w:pStyle w:val="BodyText"/>
      </w:pPr>
      <w:r>
        <w:rPr>
          <w:bCs/>
          <w:b/>
        </w:rPr>
        <w:t xml:space="preserve">Finding 1 — INT8 quantization fails on this backbone for a diagnosed reason, not a mysterious one.</w:t>
      </w:r>
      <w:r>
        <w:t xml:space="preserve"> </w:t>
      </w:r>
      <w:r>
        <w:t xml:space="preserve">PTQ INT8 delivers large size and speed gains — 3.4x (6.24 -&gt; 1.83 MB) and ~11x (38.5 -&gt; 3.4 ms; more than the ~4x either hardware mechanism predicts alone, Section 10.5) — but accuracy collapses to 10–16% under every tested configuration, and a 3-epoch QAT run does not repair it (14.67%, still rising when its budget ended — Section 4.4). A seven-step diagnostic chain isolates the cause: weight-only quantization is nearly lossless (90.64%), so the failure lives in activations — the stem output’s range (~1986) is a 133x outlier against the network median (14.95), forcing a grid step (~7.8) that erases all normal-magnitude activations; FP32 fallback cannot escape it because the outlier tensor still crosses an INT8 boundary. The recommendation is architectural, not procedural: do not ship INT8 on this hard-swish/SE backbone; re-attempt it on a ReLU-based one, where the otherwise-ideal battery profile can be realized (INT4: not measurable in this toolchain; the grid-step argument extends the negative a fortiori — Section 4.5).</w:t>
      </w:r>
    </w:p>
    <w:p>
      <w:pPr>
        <w:pStyle w:val="BodyText"/>
      </w:pPr>
      <w:r>
        <w:rPr>
          <w:bCs/>
          <w:b/>
        </w:rPr>
        <w:t xml:space="preserve">Finding 2 — this compact architecture has no free pruning region under the tested recovery budget, and the PELT changepoint marks where the steep decline ends, not where damage begins or stops.</w:t>
      </w:r>
      <w:r>
        <w:t xml:space="preserve"> </w:t>
      </w:r>
      <w:r>
        <w:t xml:space="preserve">Across a nine-ratio structured L1 sweep with a 3-epoch x 20k recovery budget, even 10% pruning costs 3.9 pp (89.50%), and PELT (ruptures, RBF cost, stable across penalty in [0.5, 2], with Dynp agreeing on the same signal) places the changepoint at nominal ratio 0.4 (56.60%). By 0.4, coupling has physically removed 63% of parameters; beyond it the average decline halves (~9.2 -&gt; ~4.6 pp per step) but another 22.9 pp still falls by 0.9. Operationally: 0.4 bounds the steep regime; the practical ceiling under this budget is ~10%, and every pruning step ships with a recovery fine-tuning budget.</w:t>
      </w:r>
    </w:p>
    <w:p>
      <w:pPr>
        <w:pStyle w:val="BodyText"/>
      </w:pPr>
      <w:r>
        <w:rPr>
          <w:bCs/>
          <w:b/>
        </w:rPr>
        <w:t xml:space="preserve">Finding 3 — the distillation signal is real (+3.02 pp over an identically-budgeted from-scratch control) but budget-limited, making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train small directly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the validated route for the tightest budgets rather than a deployable config today.</w:t>
      </w:r>
      <w:r>
        <w:t xml:space="preserve"> </w:t>
      </w:r>
      <w:r>
        <w:t xml:space="preserve">The best student (width x0.5, T=2 / alpha=0.5) reaches 50.42% / 1.74 MB / 25.8 ms versus 47.40% for the same architecture trained from scratch with identical data, epochs, and initialization. Only 2 of 9 (T, alpha) configurations beat the control — the nine-cell mean (45.97%) sits 1.43 pp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it, and each cell is a single seed-42 run — so the gain belongs to tuned KD, never to KD by default. Both post-hoc families fail through two distinct mechanisms with one shared origin — an efficiency-optimized backbone: quantization breaks on a single-tensor activation-range pathology; pruning finds no dormant capacity left to harvest. That shared origin is why the credible path to Sentinel Prime’s &lt; 3 MB is a smaller model trained into competence, not a large model cut down.</w:t>
      </w:r>
    </w:p>
    <w:p>
      <w:pPr>
        <w:pStyle w:val="BodyText"/>
      </w:pPr>
      <w:r>
        <w:rPr>
          <w:bCs/>
          <w:b/>
        </w:rPr>
        <w:t xml:space="preserve">Primary deployment recommendation.</w:t>
      </w:r>
      <w:r>
        <w:t xml:space="preserve"> </w:t>
      </w:r>
      <w:r>
        <w:t xml:space="preserve">Aido Rover: structured pruning at 12% with recovery fine-tuning,</w:t>
      </w:r>
      <w:r>
        <w:t xml:space="preserve"> </w:t>
      </w:r>
      <w:r>
        <w:rPr>
          <w:bCs/>
          <w:b/>
        </w:rPr>
        <w:t xml:space="preserve">measured in a Week-4 verification run at 88.45% / 4.87 MB</w:t>
      </w:r>
      <w:r>
        <w:t xml:space="preserve"> </w:t>
      </w:r>
      <w:r>
        <w:t xml:space="preserve">— inside the 5 MB budget with 0.13 MB headroom, within 0.5 pp of the Week-2 extrapolation. Fari (and by extrapolation Senpai): deploy FP32 as-is — constraints non-binding, accuracy decides. Aido Humanoid: pruning &lt;= 10% + fine-tuning, latency-first. Sentinel Prime: nothing measured deploys today; the route is distillation at a production budget, with INT8 re-tested on a quantization-friendly backbone as secondary. Every recommendation carries a hardware qualifier (Section 9): INT8 acceleration and absolute latency depend on the target ISA.</w:t>
      </w:r>
    </w:p>
    <w:p>
      <w:r>
        <w:pict>
          <v:rect style="width:0;height:1.5pt" o:hralign="center" o:hrstd="t" o:hr="t"/>
        </w:pict>
      </w:r>
    </w:p>
    <w:bookmarkEnd w:id="20"/>
    <w:bookmarkStart w:id="25" w:name="edge-ai-deployment-context"/>
    <w:p>
      <w:pPr>
        <w:pStyle w:val="Heading2"/>
      </w:pPr>
      <w:r>
        <w:t xml:space="preserve">2. Edge AI Deployment Context</w:t>
      </w:r>
    </w:p>
    <w:bookmarkStart w:id="21" w:name="why-ingen-needs-model-compression"/>
    <w:p>
      <w:pPr>
        <w:pStyle w:val="Heading3"/>
      </w:pPr>
      <w:r>
        <w:t xml:space="preserve">2.1 Why inGen needs model compression</w:t>
      </w:r>
    </w:p>
    <w:p>
      <w:pPr>
        <w:pStyle w:val="FirstParagraph"/>
      </w:pPr>
      <w:r>
        <w:t xml:space="preserve">inGen Dynamics builds physical AI — robots whose models run on their own onboard hardware rather than in the cloud (PIC 2.0 / Origami platform documentation [1]): typically an ARM CPU with no GPU, limited memory, and often a battery. That creates the gap this project measures — models accurate enough to be useful are usually too large and too slow for the processors they must run on — and compression is the set of techniques that closes it.</w:t>
      </w:r>
    </w:p>
    <w:bookmarkEnd w:id="21"/>
    <w:bookmarkStart w:id="22" w:name="platform-constraint-table"/>
    <w:p>
      <w:pPr>
        <w:pStyle w:val="Heading3"/>
      </w:pPr>
      <w:r>
        <w:t xml:space="preserve">2.2 Platform constraint table</w:t>
      </w:r>
    </w:p>
    <w:p>
      <w:pPr>
        <w:pStyle w:val="FirstParagraph"/>
      </w:pPr>
      <w:r>
        <w:t xml:space="preserve">Each platform’s budget is derived from its sensor rate, power source, and interaction context (Week 1 landscape briefing, Section 2):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Platform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Deployment context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Max model size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Max latency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Primary compression strategy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Aido Rover (outdoor patrol)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 Hz real-time sensor classification, Cortex-A-class CPU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5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100 ms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Quantization → pruning + ft (after W2)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Sentinel Prime AI (security)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 Hz event classification, battery-powered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3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200 ms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INT8 PTQ → distillation route (W2–W3)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Fari (elder companionship)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Companion dialogue, consumer ARM SoC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20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500 ms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Distillation → FP32 as-is (constraints non-binding)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Aido Humanoid (bipedal research)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Multi-step action classification, 10 Hz+ control loop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 (latency-critical)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50 ms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Pruning ≤ 10% + ft (unchanged)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Senpai (education robot)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Course-retrieval embeddings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20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Embedding quantization → re-test on target (no Senpai measurement)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primary strategy</w:t>
      </w:r>
      <w:r>
        <w:t xml:space="preserve">”</w:t>
      </w:r>
      <w:r>
        <w:t xml:space="preserve"> </w:t>
      </w:r>
      <w:r>
        <w:t xml:space="preserve">column records both the Week 1 plan and the post-experiment recommendation. Four of the five moved, but not in the same way: three were overturned by measurement (Rover, Sentinel Prime, Fari), and one (Senpai) was downgraded to a testing plan because no Senpai-specific experiment was run at all — an absence of evidence, not a contrary result. Only the Humanoid plan survived unchanged. The distance between the two entries is itself a result (Sections 4–6).</w:t>
      </w:r>
    </w:p>
    <w:bookmarkEnd w:id="22"/>
    <w:bookmarkStart w:id="23" w:name="hardware-rationale-for-the-budgets"/>
    <w:p>
      <w:pPr>
        <w:pStyle w:val="Heading3"/>
      </w:pPr>
      <w:r>
        <w:t xml:space="preserve">2.3 Hardware rationale for the budgets</w:t>
      </w:r>
    </w:p>
    <w:p>
      <w:pPr>
        <w:pStyle w:val="FirstParagraph"/>
      </w:pPr>
      <w:r>
        <w:rPr>
          <w:bCs/>
          <w:b/>
        </w:rPr>
        <w:t xml:space="preserve">Why 10 Hz requires &lt; 100 ms.</w:t>
      </w:r>
      <w:r>
        <w:t xml:space="preserve"> </w:t>
      </w:r>
      <w:r>
        <w:t xml:space="preserve">A 10 Hz sensor delivers a sample every 100 ms; inference must finish before the next one arrives or the robot reacts to where an obstacle</w:t>
      </w:r>
      <w:r>
        <w:t xml:space="preserve"> </w:t>
      </w:r>
      <w:r>
        <w:rPr>
          <w:iCs/>
          <w:i/>
        </w:rPr>
        <w:t xml:space="preserve">was</w:t>
      </w:r>
      <w:r>
        <w:t xml:space="preserve">. The window also covers sensor reads, preprocessing, and decision logic, so the true model budget sits below the ceiling.</w:t>
      </w:r>
    </w:p>
    <w:p>
      <w:pPr>
        <w:pStyle w:val="BodyText"/>
      </w:pPr>
      <w:r>
        <w:rPr>
          <w:bCs/>
          <w:b/>
        </w:rPr>
        <w:t xml:space="preserve">Why INT8 should improve latency on ARM edge CPUs even without a GPU.</w:t>
      </w:r>
      <w:r>
        <w:t xml:space="preserve"> </w:t>
      </w:r>
      <w:r>
        <w:t xml:space="preserve">Three hardware mechanisms, none requiring a GPU: (1) SIMD — a 128-bit NEON register holds 16 INT8 values versus 4 FP32, so one instruction does 4x the multiply-accumulate work; (2) memory traffic — INT8 weights move 4x fewer bytes, the likelier bottleneck at batch size 1, where each weight is loaded from DRAM and used once; (3) integer ALU — integer multipliers are simpler circuits than floating-point units, costing less energy per operation, which matters on battery platforms like Sentinel Prime. Each mechanism alone caps the predicted speedup near 4x; the measured 11.3x and its attribution gap are discussed in Section 10.5. These speedups require wide integer SIMD (ARM NEON, RISC-V with V); every recommendation therefore states its hardware class (Sections 9–10).</w:t>
      </w:r>
    </w:p>
    <w:bookmarkEnd w:id="23"/>
    <w:bookmarkStart w:id="24" w:name="Xc8ff0ea459ab051035016fd7c6acb53d0f5f3d1"/>
    <w:p>
      <w:pPr>
        <w:pStyle w:val="Heading3"/>
      </w:pPr>
      <w:r>
        <w:t xml:space="preserve">2.4 Compression taxonomy used in this project</w:t>
      </w:r>
    </w:p>
    <w:p>
      <w:pPr>
        <w:pStyle w:val="FirstParagraph"/>
      </w:pPr>
      <w:r>
        <w:t xml:space="preserve">Following the four-category survey framing (Cheng et al. [2]):</w:t>
      </w:r>
      <w:r>
        <w:t xml:space="preserve"> </w:t>
      </w:r>
      <w:r>
        <w:rPr>
          <w:bCs/>
          <w:b/>
        </w:rPr>
        <w:t xml:space="preserve">quantization</w:t>
      </w:r>
      <w:r>
        <w:t xml:space="preserve"> </w:t>
      </w:r>
      <w:r>
        <w:t xml:space="preserve">(fewer bits; PTQ needs only calibration data, QAT retrains under simulated quantization),</w:t>
      </w:r>
      <w:r>
        <w:t xml:space="preserve"> </w:t>
      </w:r>
      <w:r>
        <w:rPr>
          <w:bCs/>
          <w:b/>
        </w:rPr>
        <w:t xml:space="preserve">structured pruning</w:t>
      </w:r>
      <w:r>
        <w:t xml:space="preserve"> </w:t>
      </w:r>
      <w:r>
        <w:t xml:space="preserve">(remove whole channels — the result stays a dense, fast model),</w:t>
      </w:r>
      <w:r>
        <w:t xml:space="preserve"> </w:t>
      </w:r>
      <w:r>
        <w:rPr>
          <w:bCs/>
          <w:b/>
        </w:rPr>
        <w:t xml:space="preserve">knowledge distillation</w:t>
      </w:r>
      <w:r>
        <w:t xml:space="preserve"> </w:t>
      </w:r>
      <w:r>
        <w:t xml:space="preserve">(train a small student against a teacher’s softened outputs — the one family that can change the architecture), and</w:t>
      </w:r>
      <w:r>
        <w:t xml:space="preserve"> </w:t>
      </w:r>
      <w:r>
        <w:rPr>
          <w:bCs/>
          <w:b/>
        </w:rPr>
        <w:t xml:space="preserve">NAS</w:t>
      </w:r>
      <w:r>
        <w:t xml:space="preserve"> </w:t>
      </w:r>
      <w:r>
        <w:t xml:space="preserve">(search architectures under a hardware budget; MobileNetV3 itself is partly NAS-found [6], so the baseline already embodies this).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baseline-model-and-deployment-gap"/>
    <w:p>
      <w:pPr>
        <w:pStyle w:val="Heading2"/>
      </w:pPr>
      <w:r>
        <w:t xml:space="preserve">3. Baseline Model and Deployment Gap</w:t>
      </w:r>
    </w:p>
    <w:bookmarkStart w:id="26" w:name="model-and-dataset-selection"/>
    <w:p>
      <w:pPr>
        <w:pStyle w:val="Heading3"/>
      </w:pPr>
      <w:r>
        <w:t xml:space="preserve">3.1 Model and dataset selection</w:t>
      </w:r>
    </w:p>
    <w:p>
      <w:pPr>
        <w:pStyle w:val="FirstParagraph"/>
      </w:pPr>
      <w:r>
        <w:t xml:space="preserve">MobileNetV3-Small (torchvision, ImageNet-pretrained) on CIFAR-10 (HuggingFace</w:t>
      </w:r>
      <w:r>
        <w:t xml:space="preserve"> </w:t>
      </w:r>
      <w:r>
        <w:rPr>
          <w:rStyle w:val="VerbatimChar"/>
        </w:rPr>
        <w:t xml:space="preserve">uoft-cs/cifar10</w:t>
      </w:r>
      <w:r>
        <w:t xml:space="preserve">), per the Week-1 criteria: CPU-trainable, publicly available, importable as a PyTorch checkpoint, and a perception task mirroring Aido Rover’s. One selection property became central later: the backbone is itself efficiency-optimized and partly NAS-designed — precisely why post-hoc compression found no slack in it (Sections 4–5).</w:t>
      </w:r>
    </w:p>
    <w:bookmarkEnd w:id="26"/>
    <w:bookmarkStart w:id="30" w:name="Xaf9f20330afb2cb3a2279dbc3934e677094a5e7"/>
    <w:p>
      <w:pPr>
        <w:pStyle w:val="Heading3"/>
      </w:pPr>
      <w:r>
        <w:t xml:space="preserve">3.2 As-loaded profile and the Week 1 deployment gap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Metric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As-loaded FP32 (ImageNet head)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Aido Rover target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Parameters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2,542,856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FLOPs (bs=1)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~113 M (56.5 M MACs)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Weight file size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10.31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5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2.1x over budget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CPU latency (bs=1, mean of 100)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40.46 ms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100 ms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Passes on dev machine — see caveat</w:t>
            </w:r>
          </w:p>
        </w:tc>
      </w:tr>
    </w:tbl>
    <w:p>
      <w:pPr>
        <w:pStyle w:val="CaptionedFigure"/>
      </w:pPr>
      <w:r>
        <w:drawing>
          <wp:inline>
            <wp:extent cx="3840480" cy="1594161"/>
            <wp:effectExtent b="0" l="0" r="0" t="0"/>
            <wp:docPr descr="Figure 1 — Baseline vs Aido Rover budget: the Week-1 deployment gap (as-loaded profile; corrected in Section 3.3)." title="" id="28" name="Picture"/>
            <a:graphic>
              <a:graphicData uri="http://schemas.openxmlformats.org/drawingml/2006/picture">
                <pic:pic>
                  <pic:nvPicPr>
                    <pic:cNvPr descr="figs/W01_deployment_g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594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Baseline vs Aido Rover budget: the Week-1 deployment gap (as-loaded profile; corrected in Section 3.3).</w:t>
      </w:r>
    </w:p>
    <w:p>
      <w:pPr>
        <w:pStyle w:val="BodyText"/>
      </w:pPr>
      <w:r>
        <w:t>Size, not latency, is the blocker — with a caveat that recurs throughout this report: the development machine is an Apple M1 CPU, substantially faster than the Cortex-A-class target, so the latency margin cannot be trusted at 1:1 on real hardware.</w:t>
      </w:r>
    </w:p>
    <w:bookmarkEnd w:id="30"/>
    <w:bookmarkStart w:id="31" w:name="Xbda084d83743a619dbba3f0d7a6b10855d998f6"/>
    <w:p>
      <w:pPr>
        <w:pStyle w:val="Heading3"/>
      </w:pPr>
      <w:r>
        <w:t xml:space="preserve">3.3 Fine-tuned deployment baseline and the corrected gap</w:t>
      </w:r>
    </w:p>
    <w:p>
      <w:pPr>
        <w:pStyle w:val="FirstParagraph"/>
      </w:pPr>
      <w:r>
        <w:t xml:space="preserve">The as-loaded model carries a 1000-class ImageNet head that CIFAR-10 does not need. Fine-tuning (ImageNet weights -&gt; 10-class head, 2 epochs head-only + 2 epochs full network, Adam) produced the deployment baseline used by every subsequent experiment:</w:t>
      </w:r>
    </w:p>
    <w:p>
      <w:pPr>
        <w:pStyle w:val="BodyText"/>
      </w:pPr>
      <w:r>
        <w:rPr>
          <w:bCs/>
          <w:b/>
        </w:rPr>
        <w:t xml:space="preserve">93.38% test accuracy / 6.24 MB / 1,528,106 parameters / 37.3–39.2 ms CPU latency across clean sessions (see Section 3.4).</w:t>
      </w:r>
    </w:p>
    <w:p>
      <w:pPr>
        <w:pStyle w:val="BodyText"/>
      </w:pPr>
      <w:r>
        <w:t xml:space="preserve">Swapping the 1000-class head for a 10-class head alone removed ~1M parameters, shrinking the file from 10.31 MB to 6.24 MB. The honest correction to Week 1: the true Aido Rover deployment gap is</w:t>
      </w:r>
      <w:r>
        <w:t xml:space="preserve"> </w:t>
      </w:r>
      <w:r>
        <w:rPr>
          <w:bCs/>
          <w:b/>
        </w:rPr>
        <w:t xml:space="preserve">1.24 MB (1.25x), not the 2.1x first reported</w:t>
      </w:r>
      <w:r>
        <w:t xml:space="preserve"> </w:t>
      </w:r>
      <w:r>
        <w:t xml:space="preserve">— the W01 figure profiled the wrong head for the task. Wherever</w:t>
      </w:r>
      <w:r>
        <w:t xml:space="preserve"> </w:t>
      </w:r>
      <w:r>
        <w:t xml:space="preserve">“</w:t>
      </w:r>
      <w:r>
        <w:t xml:space="preserve">baseline</w:t>
      </w:r>
      <w:r>
        <w:t xml:space="preserve">”</w:t>
      </w:r>
      <w:r>
        <w:t xml:space="preserve"> </w:t>
      </w:r>
      <w:r>
        <w:t xml:space="preserve">appears from Section 4 onward, it means this fine-tuned 93.38% / 6.24 MB model.</w:t>
      </w:r>
    </w:p>
    <w:bookmarkEnd w:id="31"/>
    <w:bookmarkStart w:id="32" w:name="X6af0beff5886b2c1b0466b27717e3d6fa2d6aa2"/>
    <w:p>
      <w:pPr>
        <w:pStyle w:val="Heading3"/>
      </w:pPr>
      <w:r>
        <w:t xml:space="preserve">3.4 Measurement protocol (applies to every number in this report)</w:t>
      </w:r>
    </w:p>
    <w:p>
      <w:pPr>
        <w:pStyle w:val="FirstParagraph"/>
      </w:pPr>
      <w:r>
        <w:t xml:space="preserve">Seed 42 everywhere (</w:t>
      </w: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>); PyTorch 2.12.1 CPU build on Python 3.13, Apple M1 CPU (4 threads); accuracy on the full 10k CIFAR-10 test split unless marked as a 1k quick-screen; model size = the actual</w:t>
      </w:r>
      <w:r>
        <w:t xml:space="preserve"> </w:t>
      </w:r>
      <w:r>
        <w:rPr>
          <w:rStyle w:val="VerbatimChar"/>
        </w:rPr>
        <w:t xml:space="preserve">state_dict</w:t>
      </w:r>
      <w:r>
        <w:t xml:space="preserve"> </w:t>
      </w:r>
      <w:r>
        <w:t xml:space="preserve">file on disk (captures batch-norm buffers and format overhead, not params x 4 bytes); latency = batch size 1, 10 untimed warm-up runs, mean of 100 timed runs. Latency session note: the baseline was re-measured in every experimental session. Across the</w:t>
      </w:r>
      <w:r>
        <w:t xml:space="preserve"> </w:t>
      </w:r>
      <w:r>
        <w:rPr>
          <w:bCs/>
          <w:b/>
        </w:rPr>
        <w:t xml:space="preserve">four clean sessions</w:t>
      </w:r>
      <w:r>
        <w:t xml:space="preserve"> </w:t>
      </w:r>
      <w:r>
        <w:t xml:space="preserve">committed to this repository it reads</w:t>
      </w:r>
      <w:r>
        <w:t xml:space="preserve"> </w:t>
      </w:r>
      <w:r>
        <w:rPr>
          <w:bCs/>
          <w:b/>
        </w:rPr>
        <w:t xml:space="preserve">37.29 ms</w:t>
      </w:r>
      <w:r>
        <w:t xml:space="preserve"> </w:t>
      </w:r>
      <w:r>
        <w:t xml:space="preserve">(1-epoch pruning probe,</w:t>
      </w:r>
      <w:r>
        <w:t xml:space="preserve"> </w:t>
      </w:r>
      <w:r>
        <w:rPr>
          <w:rStyle w:val="VerbatimChar"/>
        </w:rPr>
        <w:t xml:space="preserve">experiments/W02_pruning_sweep_ft.csv</w:t>
      </w:r>
      <w:r>
        <w:t xml:space="preserve">),</w:t>
      </w:r>
      <w:r>
        <w:t xml:space="preserve"> </w:t>
      </w:r>
      <w:r>
        <w:rPr>
          <w:bCs/>
          <w:b/>
        </w:rPr>
        <w:t xml:space="preserve">37.33 ms</w:t>
      </w:r>
      <w:r>
        <w:t xml:space="preserve"> </w:t>
      </w:r>
      <w:r>
        <w:t xml:space="preserve">(Week-4 quantization re-run,</w:t>
      </w:r>
      <w:r>
        <w:t xml:space="preserve"> </w:t>
      </w:r>
      <w:r>
        <w:rPr>
          <w:rStyle w:val="VerbatimChar"/>
        </w:rPr>
        <w:t xml:space="preserve">experiments/W02_ptq_results.csv</w:t>
      </w:r>
      <w:r>
        <w:t xml:space="preserve">),</w:t>
      </w:r>
      <w:r>
        <w:t xml:space="preserve"> </w:t>
      </w:r>
      <w:r>
        <w:rPr>
          <w:bCs/>
          <w:b/>
        </w:rPr>
        <w:t xml:space="preserve">38.5 ms</w:t>
      </w:r>
      <w:r>
        <w:t xml:space="preserve"> </w:t>
      </w:r>
      <w:r>
        <w:t xml:space="preserve">(W02 quantization memo session), and</w:t>
      </w:r>
      <w:r>
        <w:t xml:space="preserve"> </w:t>
      </w:r>
      <w:r>
        <w:rPr>
          <w:bCs/>
          <w:b/>
        </w:rPr>
        <w:t xml:space="preserve">39.21 ms</w:t>
      </w:r>
      <w:r>
        <w:t xml:space="preserve"> </w:t>
      </w:r>
      <w:r>
        <w:t xml:space="preserve">(zero-shot pruning sweep,</w:t>
      </w:r>
      <w:r>
        <w:t xml:space="preserve"> </w:t>
      </w:r>
      <w:r>
        <w:rPr>
          <w:rStyle w:val="VerbatimChar"/>
        </w:rPr>
        <w:t xml:space="preserve">experiments/W02_pruning_sweep.csv</w:t>
      </w:r>
      <w:r>
        <w:t xml:space="preserve">) — a 5.1% spread, +-3.0% about the 38.1 ms mean. The</w:t>
      </w:r>
      <w:r>
        <w:t xml:space="preserve"> </w:t>
      </w:r>
      <w:r>
        <w:rPr>
          <w:bCs/>
          <w:b/>
        </w:rPr>
        <w:t xml:space="preserve">ft3 sweep session’s latency column is excluded from the clean set</w:t>
      </w:r>
      <w:r>
        <w:t xml:space="preserve">: from the 20% ratio onward its readings run 32–75% above the two architecture-identical clean sessions (which agree with each other within 1.8% at every ratio), the curve is non-monotonic (20% reads slower than 10%), and the training wall-clock in</w:t>
      </w:r>
      <w:r>
        <w:t xml:space="preserve"> </w:t>
      </w:r>
      <w:r>
        <w:rPr>
          <w:rStyle w:val="VerbatimChar"/>
        </w:rPr>
        <w:t xml:space="preserve">logs/prune_sweep_0714.log</w:t>
      </w:r>
      <w:r>
        <w:t xml:space="preserve"> </w:t>
      </w:r>
      <w:r>
        <w:t xml:space="preserve">slows at the same ratios (smaller models, longer blocks) — background load arrived mid-sweep. Every ft3 latency in this report is therefore superseded by architecture-identical clean measurements: latency depends only on the pruned graph, which recovery fine-tuning does not alter; ft3 accuracies and sizes are seed-deterministic and unaffected. The W04 verification session ran under known background load and is flagged wherever quoted. Accuracy and size reproduce exactly across sessions; latencies are quoted with their measurement session.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5" w:name="X090facd6450e8bfb5af70b021a70b07a1a77efb"/>
    <w:p>
      <w:pPr>
        <w:pStyle w:val="Heading2"/>
      </w:pPr>
      <w:r>
        <w:t xml:space="preserve">4. Quantization Results: PTQ INT8, QAT, and a Diagnosed Collapse</w:t>
      </w:r>
    </w:p>
    <w:bookmarkStart w:id="34" w:name="setup"/>
    <w:p>
      <w:pPr>
        <w:pStyle w:val="Heading3"/>
      </w:pPr>
      <w:r>
        <w:t xml:space="preserve">4.1 Setup</w:t>
      </w:r>
    </w:p>
    <w:p>
      <w:pPr>
        <w:pStyle w:val="FirstParagraph"/>
      </w:pPr>
      <w:r>
        <w:t xml:space="preserve">Deployment context: Sentinel Prime (&lt; 3 MB, battery-first, always-on) is the platform whose Week-1 plan leaned hardest on INT8 (Section 2.2), so this section decides that plan. Static post-training quantization (PyTorch</w:t>
      </w:r>
      <w:r>
        <w:t xml:space="preserve"> </w:t>
      </w:r>
      <w:r>
        <w:rPr>
          <w:rStyle w:val="VerbatimChar"/>
        </w:rPr>
        <w:t xml:space="preserve">torch.ao</w:t>
      </w:r>
      <w:r>
        <w:t xml:space="preserve"> </w:t>
      </w:r>
      <w:r>
        <w:t xml:space="preserve">FX graph mode, qnnpack backend), calibrated on 512 images drawn from the training split — never the test split. Week 1’s expectation, following the MobileNetV3 paper’s quantization-friendly design claims [6] and the Nagel et al. PTQ pipeline [3], was that per-channel INT8 would land within a few points of FP32. The measurement said otherwise, and the gap between expectation and outcome is the finding.</w:t>
      </w:r>
    </w:p>
    <w:bookmarkEnd w:id="34"/>
    <w:bookmarkStart w:id="38" w:name="ptq-collapses-under-every-configuration"/>
    <w:p>
      <w:pPr>
        <w:pStyle w:val="Heading3"/>
      </w:pPr>
      <w:r>
        <w:t xml:space="preserve">4.2 PTQ collapses under every configuration</w:t>
      </w:r>
    </w:p>
    <w:p>
      <w:pPr>
        <w:pStyle w:val="FirstParagraph"/>
      </w:pPr>
      <w:r>
        <w:t xml:space="preserve">INT8 delivers its size and speed gains in full — 6.24 -&gt; 1.83 MB (3.4x) and 38.5 -&gt; 3.42 ms (11.3x; larger than either Section-2.3 mechanism predicts alone, an attribution gap discussed in Section 10.5) — but accuracy collapses to near-random in all four tested configurations: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Weight scheme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Activation observer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Test accuracy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per-channel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Histogram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15.91% (full test set)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per-tensor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Histogram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10.00% (full test set)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per-channel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MinMax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12.2% (1k quick-screen)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official default qnnpack mapping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10.2% (1k quick-screen)</w:t>
            </w:r>
          </w:p>
        </w:tc>
      </w:tr>
    </w:tbl>
    <w:p>
      <w:pPr>
        <w:pStyle w:val="BodyText"/>
      </w:pPr>
      <w:r>
        <w:t xml:space="preserve">The direction matches Nagel et al. [3] — per-tensor &lt; per-channel on depthwise-separable networks — but the magnitude exceeds it: even per-channel collapses.</w:t>
      </w:r>
    </w:p>
    <w:p>
      <w:pPr>
        <w:pStyle w:val="CaptionedFigure"/>
      </w:pPr>
      <w:r>
        <w:drawing>
          <wp:inline>
            <wp:extent cx="3840480" cy="2560320"/>
            <wp:effectExtent b="0" l="0" r="0" t="0"/>
            <wp:docPr descr="Figure 2 — Week-2 accuracy-vs-size Pareto (FP32, INT8 variants, nine ft3 pruning points; latency as color). Note: this frozen Week-2 figure’s latency colors include ft3-session readings later found load-affected from the 20% ratio onward (Section 3.4); point positions are unaffected — Figure 5 supersedes it with clean-session colors." title="" id="36" name="Picture"/>
            <a:graphic>
              <a:graphicData uri="http://schemas.openxmlformats.org/drawingml/2006/picture">
                <pic:pic>
                  <pic:nvPicPr>
                    <pic:cNvPr descr="figs/W02_pareto_combine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Week-2 accuracy-vs-size Pareto (FP32, INT8 variants, nine ft3 pruning points; latency as color). Note: this frozen Week-2 figure’s latency colors include ft3-session readings later found load-affected from the 20% ratio onward (Section 3.4); point positions are unaffected — Figure 5 supersedes it with clean-session colors.</w:t>
      </w:r>
    </w:p>
    <w:bookmarkEnd w:id="38"/>
    <w:bookmarkStart w:id="42" w:name="root-cause-diagnostic-chain"/>
    <w:p>
      <w:pPr>
        <w:pStyle w:val="Heading3"/>
      </w:pPr>
      <w:r>
        <w:t xml:space="preserve">4.3 Root-cause diagnostic chain</w:t>
      </w:r>
    </w:p>
    <w:p>
      <w:pPr>
        <w:pStyle w:val="FirstParagraph"/>
      </w:pPr>
      <w:r>
        <w:t xml:space="preserve">Seven steps, each eliminating one hypothesis: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Prediction distribution:</w:t>
      </w:r>
      <w:r>
        <w:t xml:space="preserve"> </w:t>
      </w:r>
      <w:r>
        <w:t xml:space="preserve">the INT8 model dumps ~78% of a test batch into 3 of 10 classes — systematic output distortion, not noise.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Single-conv sanity check:</w:t>
      </w:r>
      <w:r>
        <w:t xml:space="preserve"> </w:t>
      </w:r>
      <w:r>
        <w:t xml:space="preserve">one Conv2d+ReLU quantized in isolation shows max abs error ~0.30 on outputs in [0, 4] — kernels compute correctly; toolchain bug ruled 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Observer swap (Histogram -&gt; MinMax):</w:t>
      </w:r>
      <w:r>
        <w:t xml:space="preserve"> </w:t>
      </w:r>
      <w:r>
        <w:t xml:space="preserve">still collapsed — calibration-strategy hypothesis ruled 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Official default qconfig mapping:</w:t>
      </w:r>
      <w:r>
        <w:t xml:space="preserve"> </w:t>
      </w:r>
      <w:r>
        <w:t xml:space="preserve">still collapsed — misconfiguration hypothesis ruled 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QAT cross-check:</w:t>
      </w:r>
      <w:r>
        <w:t xml:space="preserve"> </w:t>
      </w:r>
      <w:r>
        <w:t>training loss falls steadily (1.90 -&gt; 0.58) while the simulated (fake-quant) and converted true-INT8 accuracies agree — 11.8% vs 11.6% — so the failure exists at the simulation level, independent of the qnnpack backend. Provenance: the converted-INT8 side is archived in checkpoints/qat_summary.json (1-epoch smoke-test record, best_int8_test_acc: 0.116); the paired 11.8% fake-quant reading survives only in the notebook’s narrative — the committed logs/qat_0714.log predates the per-epoch simulated-accuracy print now in scripts/qat_train.py.</w:t>
      </w:r>
      <w:r/>
      <w:r>
        <w:rPr>
          <w:rStyle w:val="VerbatimChar"/>
        </w:rPr>
      </w:r>
      <w:r/>
      <w:r/>
      <w:r/>
      <w:r>
        <w:rPr>
          <w:rStyle w:val="VerbatimChar"/>
        </w:rPr>
      </w:r>
      <w:r/>
      <w:r>
        <w:t xml:space="preserve"> The step establishes the</w:t>
      </w:r>
      <w:r>
        <w:t xml:space="preserve"> </w:t>
      </w:r>
      <w:r>
        <w:rPr>
          <w:iCs/>
          <w:i/>
        </w:rPr>
        <w:t xml:space="preserve">agreement</w:t>
      </w:r>
      <w:r>
        <w:t xml:space="preserve"> </w:t>
      </w:r>
      <w:r>
        <w:t xml:space="preserve">of the two evaluation paths, not an accuracy level; the full run’s per-epoch converted accuracies are 12.27% / 13.12% / 14.67% (</w:t>
      </w:r>
      <w:r>
        <w:rPr>
          <w:rStyle w:val="VerbatimChar"/>
        </w:rPr>
        <w:t xml:space="preserve">logs/qat_0714.log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Experiment A — weight-only quantization: 90.64%</w:t>
      </w:r>
      <w:r>
        <w:t xml:space="preserve"> </w:t>
      </w:r>
      <w:r>
        <w:t xml:space="preserve">on the full test set (−2.74 pp vs baseline). Weight quantization is essentially lossless;</w:t>
      </w:r>
      <w:r>
        <w:t xml:space="preserve"> </w:t>
      </w:r>
      <w:r>
        <w:rPr>
          <w:bCs/>
          <w:b/>
        </w:rPr>
        <w:t xml:space="preserve">the collapse is caused by activation quantization.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Experiment B — per-layer activation ranges:</w:t>
      </w:r>
      <w:r>
        <w:t xml:space="preserve"> </w:t>
      </w:r>
      <w:r>
        <w:t xml:space="preserve">the stem convolution output (</w:t>
      </w:r>
      <w:r>
        <w:rPr>
          <w:rStyle w:val="VerbatimChar"/>
        </w:rPr>
        <w:t xml:space="preserve">features.0.0</w:t>
      </w:r>
      <w:r>
        <w:t xml:space="preserve">) spans −1073.9 … 912.2 (range ~1986) against a network-wide median of 14.95 — a</w:t>
      </w:r>
      <w:r>
        <w:t xml:space="preserve"> </w:t>
      </w:r>
      <w:r>
        <w:rPr>
          <w:bCs/>
          <w:b/>
        </w:rPr>
        <w:t xml:space="preserve">133x outlier</w:t>
      </w:r>
      <w:r>
        <w:t xml:space="preserve">. Its INT8 grid step is ~7.8, so all normal-magnitude activations (|x| &lt;~ 4) collapse into a handful of bins; the wrecked stem output propagates network-wide, explaining the class-collapse of step 1. The observer table records the stem twice, and the distinction matters for the fix attempt below:</w:t>
      </w:r>
      <w:r>
        <w:t xml:space="preserve"> </w:t>
      </w:r>
      <w:r>
        <w:rPr>
          <w:rStyle w:val="VerbatimChar"/>
        </w:rPr>
        <w:t xml:space="preserve">features.0.0</w:t>
      </w:r>
      <w:r>
        <w:t xml:space="preserve"> </w:t>
      </w:r>
      <w:r>
        <w:t xml:space="preserve">(the convolution output, range 1986.15) and</w:t>
      </w:r>
      <w:r>
        <w:t xml:space="preserve"> </w:t>
      </w:r>
      <w:r>
        <w:rPr>
          <w:rStyle w:val="VerbatimChar"/>
        </w:rPr>
        <w:t xml:space="preserve">features.0.2</w:t>
      </w:r>
      <w:r>
        <w:t xml:space="preserve"> </w:t>
      </w:r>
      <w:r>
        <w:t xml:space="preserve">(its post-hard-swish output, −0.38 … 912.24, range 912.61 — hard-swish floors the negative side at −0.375). Secondary outliers (range 65–118, 4–8x the median) span</w:t>
      </w:r>
      <w:r>
        <w:t xml:space="preserve"> </w:t>
      </w:r>
      <w:r>
        <w:rPr>
          <w:rStyle w:val="VerbatimChar"/>
        </w:rPr>
        <w:t xml:space="preserve">features.1–.7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features.12</w:t>
      </w:r>
      <w:r>
        <w:t xml:space="preserve">.</w:t>
      </w:r>
    </w:p>
    <w:p>
      <w:pPr>
        <w:pStyle w:val="CaptionedFigure"/>
      </w:pPr>
      <w:r>
        <w:drawing>
          <wp:inline>
            <wp:extent cx="3840480" cy="2170706"/>
            <wp:effectExtent b="0" l="0" r="0" t="0"/>
            <wp:docPr descr="Figure 3 — Per-layer activation range profile, stem outlier annotated (log scale)." title="" id="40" name="Picture"/>
            <a:graphic>
              <a:graphicData uri="http://schemas.openxmlformats.org/drawingml/2006/picture">
                <pic:pic>
                  <pic:nvPicPr>
                    <pic:cNvPr descr="figs/W02_activation_range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170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Per-layer activation range profile, stem outlier annotated (log scale).</w:t>
      </w:r>
    </w:p>
    <w:p>
      <w:pPr>
        <w:pStyle w:val="BodyText"/>
      </w:pPr>
      <w:r>
        <w:rPr>
          <w:bCs/>
          <w:b/>
        </w:rPr>
        <w:t xml:space="preserve">Fix attempt — selective FP32 fallback: failed, and the failure is informative.</w:t>
      </w:r>
      <w:r>
        <w:t xml:space="preserve"> </w:t>
      </w:r>
      <w:r>
        <w:t xml:space="preserve">Keeping the stem block (</w:t>
      </w:r>
      <w:r>
        <w:rPr>
          <w:rStyle w:val="VerbatimChar"/>
        </w:rPr>
        <w:t xml:space="preserve">features.0</w:t>
      </w:r>
      <w:r>
        <w:t xml:space="preserve">, both top outliers) in FP32 does not recover accuracy (14.7%, 1k quick-screen; module inspection confirms the fallback took effect). The pathology lives in</w:t>
      </w:r>
      <w:r>
        <w:t xml:space="preserve"> </w:t>
      </w:r>
      <w:r>
        <w:rPr>
          <w:iCs/>
          <w:i/>
        </w:rPr>
        <w:t xml:space="preserve">tensors</w:t>
      </w:r>
      <w:r>
        <w:t xml:space="preserve">, not ops: the stem’s output must still be quantized at the boundary into the next INT8 block — the post-hard-swish tensor of step 7 (range 912.61), whose grid step (~3.6) is still coarser than the entire normal activation scale (|x| &lt;~ 4). Escaping it would mean extending FP32 through</w:t>
      </w:r>
      <w:r>
        <w:t xml:space="preserve"> </w:t>
      </w:r>
      <w:r>
        <w:rPr>
          <w:rStyle w:val="VerbatimChar"/>
        </w:rPr>
        <w:t xml:space="preserve">features.1–.7</w:t>
      </w:r>
      <w:r>
        <w:t xml:space="preserve">, forfeiting most of the compression benefit. Closed as a genuine negative result under a pre-committed time-box.</w:t>
      </w:r>
    </w:p>
    <w:p>
      <w:pPr>
        <w:pStyle w:val="BodyText"/>
      </w:pPr>
      <w:r>
        <w:rPr>
          <w:bCs/>
          <w:b/>
        </w:rPr>
        <w:t xml:space="preserve">Likely origin of the outliers.</w:t>
      </w:r>
      <w:r>
        <w:t xml:space="preserve"> </w:t>
      </w:r>
      <w:r>
        <w:t xml:space="preserve">After only 4 epochs of fine-tuning, the stem retains near-ImageNet weights while inputs changed to CIFAR-10 upscaled 32 -&gt; 224; some channels respond with extreme values, and min/max calibration stretches the grid over them — the outlier failure mode Nagel et al. [3] describe for efficient architectures, amplified here by hard-swish/SE.</w:t>
      </w:r>
    </w:p>
    <w:bookmarkEnd w:id="42"/>
    <w:bookmarkStart w:id="43" w:name="qat-a-budget-limited-negative-result"/>
    <w:p>
      <w:pPr>
        <w:pStyle w:val="Heading3"/>
      </w:pPr>
      <w:r>
        <w:t xml:space="preserve">4.4 QAT: a budget-limited negative result</w:t>
      </w:r>
    </w:p>
    <w:p>
      <w:pPr>
        <w:pStyle w:val="FirstParagraph"/>
      </w:pPr>
      <w:r>
        <w:t xml:space="preserve">QAT (per-channel FakeQuantize, lr 1e-4, 3 epochs from the 93.38% baseline;</w:t>
      </w:r>
      <w:r>
        <w:t xml:space="preserve"> </w:t>
      </w:r>
      <w:r>
        <w:rPr>
          <w:rStyle w:val="VerbatimChar"/>
        </w:rPr>
        <w:t>scripts/qat_train.py, per-epoch metrics in logs/qat_0714.log) did not recover</w:t>
      </w:r>
      <w:r/>
      <w:r/>
      <w:r>
        <w:rPr>
          <w:rStyle w:val="VerbatimChar"/>
        </w:rPr>
      </w:r>
      <w:r>
        <w:t xml:space="preserve"> INT8 accuracy within its budget: 12.27% -&gt; 13.12% -&gt; 14.67% per epoch, still rising — and accelerating (+0.85, then +1.55 pp) — when the 3-epoch budget ended, with training loss still falling. By the standard applied to pruning (Section 5.3) and distillation (Section 7.2), that is a budget-limited negative, not proof that no QAT budget can repair the pathology (a larger run was not attempted; one epoch costs ~74 min). What it establishes, with step 5, is that the failure lives at the simulation level and is not fixed by a small-budget weight adaptation.</w:t>
      </w:r>
    </w:p>
    <w:bookmarkEnd w:id="43"/>
    <w:bookmarkStart w:id="44" w:name="int4"/>
    <w:p>
      <w:pPr>
        <w:pStyle w:val="Heading3"/>
      </w:pPr>
      <w:r>
        <w:t xml:space="preserve">4.5 INT4</w:t>
      </w:r>
    </w:p>
    <w:p>
      <w:pPr>
        <w:pStyle w:val="FirstParagraph"/>
      </w:pPr>
      <w:r>
        <w:t xml:space="preserve">Not attempted: no CPU INT4 inference path exists in this toolchain on macOS (bitsandbytes is CUDA-oriented). Mechanistically, a ~17x coarser grid (255 quantization steps -&gt; 15) can only worsen the same activation-range pathology, so the negative conclusion extends a fortiori. This is stated as a toolchain-plus-mechanism argument, not a measurement.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Xcd1e6a0dbae00dfa03a26df7a0943f74bb955af"/>
    <w:p>
      <w:pPr>
        <w:pStyle w:val="Heading2"/>
      </w:pPr>
      <w:r>
        <w:t xml:space="preserve">5. Structured Pruning: Nine-Ratio Sweep, Recovery Budget, and the PELT Changepoint</w:t>
      </w:r>
    </w:p>
    <w:bookmarkStart w:id="46" w:name="method"/>
    <w:p>
      <w:pPr>
        <w:pStyle w:val="Heading3"/>
      </w:pPr>
      <w:r>
        <w:t xml:space="preserve">5.1 Method</w:t>
      </w:r>
    </w:p>
    <w:p>
      <w:pPr>
        <w:pStyle w:val="FirstParagraph"/>
      </w:pPr>
      <w:r>
        <w:t xml:space="preserve">Structured (channel-level) L1-magnitude pruning with</w:t>
      </w:r>
      <w:r>
        <w:t xml:space="preserve"> </w:t>
      </w:r>
      <w:r>
        <w:rPr>
          <w:rStyle w:val="VerbatimChar"/>
        </w:rPr>
        <w:t xml:space="preserve">torch-pruning</w:t>
      </w:r>
      <w:r>
        <w:t xml:space="preserve">, which physically removes channels and traverses MobileNetV3’s residual/SE dependency groups — chosen over</w:t>
      </w:r>
      <w:r>
        <w:t xml:space="preserve"> </w:t>
      </w:r>
      <w:r>
        <w:rPr>
          <w:rStyle w:val="VerbatimChar"/>
        </w:rPr>
        <w:t xml:space="preserve">torch.nn.utils.prune</w:t>
      </w:r>
      <w:r>
        <w:t xml:space="preserve">, which only masks weights and therefore changes neither file size nor latency, making the eight-element table unfillable. The final 10-class Linear head is excluded (its output dimension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task). Each ratio prunes a fresh copy of the baseline (not cumulative), so rows are comparable. A 30% single trial validated dependency-graph traversal before the sweep.</w:t>
      </w:r>
    </w:p>
    <w:bookmarkEnd w:id="46"/>
    <w:bookmarkStart w:id="47" w:name="zero-shot-no-free-redundancy"/>
    <w:p>
      <w:pPr>
        <w:pStyle w:val="Heading3"/>
      </w:pPr>
      <w:r>
        <w:t xml:space="preserve">5.2 Zero-shot: no free redundancy</w:t>
      </w:r>
    </w:p>
    <w:p>
      <w:pPr>
        <w:pStyle w:val="FirstParagraph"/>
      </w:pPr>
      <w:r>
        <w:t xml:space="preserve">Zero-shot accuracy collapses at the very first ratio (10%: 93.4% -&gt; 15.0%) and the whole 10–90% curve sits at random (~10%). Two things are at work. First, the collapse itself is the expected behavior of zero-shot structured pruning — removing whole channels breaks co-adapted weights and invalidates BatchNorm statistics (the standard explanation, not separately isolated here) — which is why recovery fine-tuning is part of the technique.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by itself evidence about redundancy: 95% of the drop at 10% (74.5 of 78.3 pp) is recovered by three epochs of fine-tuning without adding a single channel back (Section 5.3), so the claim that this efficiency-optimized backbone carries little dormant capacity rests on the post-recovery residual (3.88 pp at 10%), not on the zero-shot curve. Second,</w:t>
      </w:r>
      <w:r>
        <w:t xml:space="preserve"> </w:t>
      </w:r>
      <w:r>
        <w:rPr>
          <w:bCs/>
          <w:b/>
        </w:rPr>
        <w:t xml:space="preserve">dependency-group coupling makes nominal ratios understate physical removal</w:t>
      </w:r>
      <w:r>
        <w:t xml:space="preserve">: nominal 10% removes 18.8% of parameters, nominal 40% removes 63%, and nominal 90% removes 98.6% (1,528,106 -&gt; 21,948 parameters), because residual and SE groups shrink together. Size and latency gains are nonetheless real (50% -&gt; 1.72 MB; 90% -&gt; 0.17 MB and 4.89 ms against the 39.21 ms baseline of this zero-shot session). Latency scales sub-linearly — 69.6x fewer parameters buys 8.0x — because channel pruning leaves the layer count unchanged, so width-independent per-op overheads set a floor (likely, not profiled).</w:t>
      </w:r>
    </w:p>
    <w:p>
      <w:pPr>
        <w:pStyle w:val="BodyText"/>
      </w:pPr>
      <w:r>
        <w:t xml:space="preserve">A methodological dead end is documented rather than hidden: PELT on this zero-shot curve is meaningless — a curve that is one long floor at random accuracy has no regimes to separate — which is what motivated the recovery-budget rerun below.</w:t>
      </w:r>
    </w:p>
    <w:bookmarkEnd w:id="47"/>
    <w:bookmarkStart w:id="48" w:name="recovery-budget-experiment"/>
    <w:p>
      <w:pPr>
        <w:pStyle w:val="Heading3"/>
      </w:pPr>
      <w:r>
        <w:t xml:space="preserve">5.3 Recovery-budget experiment</w:t>
      </w:r>
    </w:p>
    <w:p>
      <w:pPr>
        <w:pStyle w:val="FirstParagraph"/>
      </w:pPr>
      <w:r>
        <w:t xml:space="preserve">A 1-epoch x 5k probe lifts 10%-pruning only to 55.0% and 20%+ not at all: that curve measures the recovery</w:t>
      </w:r>
      <w:r>
        <w:t xml:space="preserve"> </w:t>
      </w:r>
      <w:r>
        <w:rPr>
          <w:iCs/>
          <w:i/>
        </w:rPr>
        <w:t xml:space="preserve">budget</w:t>
      </w:r>
      <w:r>
        <w:t xml:space="preserve">, not the architecture (loss was still falling when the epoch ended). The authoritative sweep therefore reran all nine ratios with a 12x budget (3 epochs x 20k images,</w:t>
      </w:r>
      <w:r>
        <w:t xml:space="preserve"> </w:t>
      </w:r>
      <w:r>
        <w:rPr>
          <w:rStyle w:val="VerbatimChar"/>
        </w:rPr>
        <w:t xml:space="preserve">scripts/prune_ft_sweep.py</w:t>
      </w:r>
      <w:r>
        <w:t xml:space="preserve">, 6.7 h unattended — 401.6 min summed over the nine ratios,</w:t>
      </w:r>
      <w:r>
        <w:t xml:space="preserve"> </w:t>
      </w:r>
      <w:r>
        <w:rPr>
          <w:rStyle w:val="VerbatimChar"/>
        </w:rPr>
        <w:t xml:space="preserve">logs/prune_sweep_0714.log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Nominal ratio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Zero-shot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+1 ep x 5k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+3 ep x 20k (ft3)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15.04%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55.01%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89.50%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12%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88.45%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(W04 verification)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15%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85.32%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(W04 verification)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11.23%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12.83%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78.11%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7.63%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12.38%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68.04%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9.96%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9.71%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56.60%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10.54%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11.27%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54.91%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9.57%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10.10%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44.88%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70%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10.00%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10.00%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46.54%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10.00%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10.00%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40.86%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10.00%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10.00%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33.71%</w:t>
            </w:r>
          </w:p>
        </w:tc>
      </w:tr>
    </w:tbl>
    <w:p>
      <w:pPr>
        <w:pStyle w:val="BodyText"/>
      </w:pPr>
      <w:r>
        <w:t xml:space="preserve">Full nine-ratio data:</w:t>
      </w:r>
      <w:r>
        <w:t xml:space="preserve"> </w:t>
      </w:r>
      <w:r>
        <w:rPr>
          <w:rStyle w:val="VerbatimChar"/>
        </w:rPr>
        <w:t xml:space="preserve">experiments/W02_pruning_sweep_ft3.csv</w:t>
      </w:r>
      <w:r>
        <w:t xml:space="preserve">; the 12%/15% rows come from the Week-4 verification run (</w:t>
      </w:r>
      <w:r>
        <w:rPr>
          <w:rStyle w:val="VerbatimChar"/>
        </w:rPr>
        <w:t xml:space="preserve">experiments/W04_rover_verification.csv</w:t>
      </w:r>
      <w:r>
        <w:t xml:space="preserve">) under the identical ft3 protocol (hence the dashes in the Week-2 columns). The 60 -&gt; 70% uptick (+1.66 pp) is a single-run observation: with one run per ratio and no measured run-to-run variance, noise and a real effect cannot be distinguished. Training loss was still falling at epoch 3 in every ratio, so the absolute recovered accuracies likely understate what a longer budget would reach — likely, not proven, since no held-out curve was tracked during fine-tuning. The shape-level conclusions (changepoint location, rankings) are expected to be budget-robust; the absolutes are not. The headline result, stated under this budget: recovery is real at low ratios, but there is</w:t>
      </w:r>
      <w:r>
        <w:t xml:space="preserve"> </w:t>
      </w:r>
      <w:r>
        <w:rPr>
          <w:bCs/>
          <w:b/>
        </w:rPr>
        <w:t xml:space="preserve">no loss-free region at 3 ep x 20k</w:t>
      </w:r>
      <w:r>
        <w:t xml:space="preserve"> </w:t>
      </w:r>
      <w:r>
        <w:t xml:space="preserve">— even 10% costs 3.9 pp.</w:t>
      </w:r>
    </w:p>
    <w:bookmarkEnd w:id="48"/>
    <w:bookmarkStart w:id="52" w:name="critical-compression-ratio-pelt"/>
    <w:p>
      <w:pPr>
        <w:pStyle w:val="Heading3"/>
      </w:pPr>
      <w:r>
        <w:t xml:space="preserve">5.4 Critical compression ratio (PELT)</w:t>
      </w:r>
    </w:p>
    <w:p>
      <w:pPr>
        <w:pStyle w:val="FirstParagraph"/>
      </w:pPr>
      <w:r>
        <w:rPr>
          <w:bCs/>
          <w:b/>
        </w:rPr>
        <w:t xml:space="preserve">Changepoint: nominal ratio 0.4, test accuracy 56.60% at the changepoint.</w:t>
      </w:r>
      <w:r>
        <w:t xml:space="preserve"> </w:t>
      </w:r>
      <w:r>
        <w:t xml:space="preserve">Criterion, stated in advance rather than read off the plot: PELT (</w:t>
      </w:r>
      <w:r>
        <w:rPr>
          <w:rStyle w:val="VerbatimChar"/>
        </w:rPr>
        <w:t xml:space="preserve">ruptures</w:t>
      </w:r>
      <w:r>
        <w:t xml:space="preserve">, RBF cost) places the changepoint at 0.4 for every penalty in [0.5, 2]; at penalty &gt;= 3 it reports no changepoint at all rather than a different one, and exact dynamic-programming segmentation (Dynp, n_bkps = 1) — the same RBF cost on the same ten points, forced to return exactly one breakpoint — selects 0.4 as well. This is an internal-consistency check, two search strategies agreeing under one cost function, not corroboration from outside the curve (Section 10.6); with only ten points it is also the strongest check available.</w:t>
      </w:r>
    </w:p>
    <w:p>
      <w:pPr>
        <w:pStyle w:val="BodyText"/>
      </w:pPr>
      <w:r>
        <w:rPr>
          <w:bCs/>
          <w:b/>
        </w:rPr>
        <w:t xml:space="preserve">Mechanism — reading the changepoint correctly.</w:t>
      </w:r>
      <w:r>
        <w:t xml:space="preserve"> </w:t>
      </w:r>
      <w:r>
        <w:t xml:space="preserve">The changepoint separates steep collapse (~9.2 pp per step before 0.4: 93.4 -&gt; 56.6) from a slower but continuing decline (~4.6 pp per step on average after — including one post-changepoint step, 50 -&gt; 60%, that falls 10.0 pp, as steep as anything before it). It marks where the</w:t>
      </w:r>
      <w:r>
        <w:t xml:space="preserve"> </w:t>
      </w:r>
      <w:r>
        <w:rPr>
          <w:iCs/>
          <w:i/>
        </w:rPr>
        <w:t xml:space="preserve">steep regime ends</w:t>
      </w:r>
      <w:r>
        <w:t xml:space="preserve">, not where damage begins and not a floor: by nominal 0.4, dependency-group coupling has physically removed 63% of parameters — entire feature-detector groups are gone, creating an information bottleneck that a 3-epoch budget cannot rebuild — and a further 22.9 pp of accuracy and 96% of the remaining parameters are lost between 0.4 and 0.9. Critically, the region before the changepoint is not a safe zone: degradation begins at the first step. Unlike over-parameterized networks, this curve has no pre-changepoint plateau — 0.4 is an upper bound on useful pruning, never an operating point.</w:t>
      </w:r>
    </w:p>
    <w:p>
      <w:pPr>
        <w:pStyle w:val="CaptionedFigure"/>
      </w:pPr>
      <w:r>
        <w:drawing>
          <wp:inline>
            <wp:extent cx="3840480" cy="2411464"/>
            <wp:effectExtent b="0" l="0" r="0" t="0"/>
            <wp:docPr descr="Figure 4 — Structured pruning sweep (3 ep × 20k recovery): ft3 accuracy and model size vs nominal ratio; PELT changepoint and random-guess line marked." title="" id="50" name="Picture"/>
            <a:graphic>
              <a:graphicData uri="http://schemas.openxmlformats.org/drawingml/2006/picture">
                <pic:pic>
                  <pic:nvPicPr>
                    <pic:cNvPr descr="figs/W02_pruning_dualaxis_ft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411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Structured pruning sweep (3 ep × 20k recovery): ft3 accuracy and model size vs nominal ratio; PELT changepoint and random-guess line marked.</w:t>
      </w:r>
    </w:p>
    <w:bookmarkEnd w:id="52"/>
    <w:bookmarkStart w:id="53" w:name="X5762f7dbc8937d6a951e40450ff4dc224747516"/>
    <w:p>
      <w:pPr>
        <w:pStyle w:val="Heading3"/>
      </w:pPr>
      <w:r>
        <w:t xml:space="preserve">5.5 The Aido Rover operating point — extrapolation verified by measurement</w:t>
      </w:r>
    </w:p>
    <w:p>
      <w:pPr>
        <w:pStyle w:val="FirstParagraph"/>
      </w:pPr>
      <w:r>
        <w:t xml:space="preserve">Week 2 ended one notch short of the Rover budget: 10% + ft3 = 89.50% / 5.08 MB / 33.8 ms (clean-session latency, Section 3.4), 0.08 MB over, with ~12%</w:t>
      </w:r>
      <w:r>
        <w:t xml:space="preserve"> </w:t>
      </w:r>
      <w:r>
        <w:rPr>
          <w:iCs/>
          <w:i/>
        </w:rPr>
        <w:t xml:space="preserve">extrapolated</w:t>
      </w:r>
      <w:r>
        <w:t xml:space="preserve"> </w:t>
      </w:r>
      <w:r>
        <w:t xml:space="preserve">to clear 5 MB at ~88%. A Week-4 verification run closed that gap under the identical ft3 protocol (torch-pruning L1, head excluded, 3 ep x 20k, seed 42;</w:t>
      </w:r>
      <w:r>
        <w:t xml:space="preserve"> </w:t>
      </w:r>
      <w:r>
        <w:rPr>
          <w:rStyle w:val="VerbatimChar"/>
        </w:rPr>
        <w:t xml:space="preserve">scripts/w04_rover_verification.py</w:t>
      </w:r>
      <w:r>
        <w:t xml:space="preserve">), including a baseline re-check that reproduced 93.38% exactly: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Config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Test acc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Size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Params (actual removal)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Latency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Prune 12% + ft3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88.45%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4.87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1,186,341 (−22.4%)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46.62 ms (loaded session)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Prune 15% + ft3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85.32%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4.56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1,109,583 (−27.4%)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43.53 ms (loaded session)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measurement confirms the Week-2 extrapolation — measured 88.45% vs predicted ~88% — with 0.13 MB of budget headroom.</w:t>
      </w:r>
      <w:r>
        <w:t xml:space="preserve"> </w:t>
      </w:r>
      <w:r>
        <w:t>The new points slot monotonically into the W02 curve (10% → 89.50, 12% → 88.45, 15% → 85.32, 20% → 78.11) with no anomalies; nominal 12% physically removes 22.4% of parameters (dependency coupling, Section 5.2). Two caveats carry over unchanged: training loss was still falling at epoch 3 for both new points (0.527 → 0.254 at 12%; 0.759 → 0.376 at 15%), so these accuracies likely understate longer-budget recovery (Section 5.3’s caveat applies); and this session’s latencies were taken under background load (the baseline re-check read 50.61 ms vs 37.3–39.2 ms in clean sessions). The &lt; 100 ms budget conclusion is untouched — even loaded, 46.62 ms sits far inside. A pre-presentation re-measurement (scripts/remeasure_latency.py, 2026-07-30) read 43.79 / 42.20 ms for the 12% / 15% checkpoints, but its in-session baseline control read 49.61 ms against the 37.3–39.2 ms clean cluster, so that session does not qualify as clean either; both sessions' values stand as annotated records (Section 10.1).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1" w:name="Xb9fc8de9608ec8846e8587fda619e66fab00c80"/>
    <w:p>
      <w:pPr>
        <w:pStyle w:val="Heading2"/>
      </w:pPr>
      <w:r>
        <w:t xml:space="preserve">6. Pareto Frontier and Per-Platform Feasibility</w:t>
      </w:r>
    </w:p>
    <w:bookmarkStart w:id="55" w:name="consolidated-eight-element-results"/>
    <w:p>
      <w:pPr>
        <w:pStyle w:val="Heading3"/>
      </w:pPr>
      <w:r>
        <w:t xml:space="preserve">6.1 Consolidated eight-element results</w:t>
      </w:r>
    </w:p>
    <w:p>
      <w:pPr>
        <w:pStyle w:val="FirstParagraph"/>
      </w:pPr>
      <w:r>
        <w:t xml:space="preserve">Reference: fine-tuned FP32 baseline, 93.38% / 6.24 MB. Accuracy and size are session-independent and reproduce exactly; only latency is session-dependent, so every latency below carries its session: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W02 quantization memo session, baseline 38.5 ms;</w:t>
      </w:r>
      <w:r>
        <w:t xml:space="preserve"> </w:t>
      </w:r>
      <w:r>
        <w:rPr>
          <w:bCs/>
          <w:b/>
        </w:rPr>
        <w:t xml:space="preserve">(g)</w:t>
      </w:r>
      <w:r>
        <w:t xml:space="preserve"> </w:t>
      </w:r>
      <w:r>
        <w:t xml:space="preserve">zero-shot pruning sweep, baseline 39.21 ms (</w:t>
      </w:r>
      <w:r>
        <w:rPr>
          <w:rStyle w:val="VerbatimChar"/>
        </w:rPr>
        <w:t xml:space="preserve">experiments/W02_pruning_sweep.csv</w:t>
      </w:r>
      <w:r>
        <w:t xml:space="preserve">) — quoted for all pruning rows: latency depends only on the pruned graph (unchanged by fine-tuning), and the ft3 session’s latency column is load-contaminated and superseded (Section 3.4);</w:t>
      </w:r>
      <w:r>
        <w:t xml:space="preserve"> </w:t>
      </w:r>
      <w:r>
        <w:rPr>
          <w:bCs/>
          <w:b/>
        </w:rPr>
        <w:t xml:space="preserve">(e)</w:t>
      </w:r>
      <w:r>
        <w:t xml:space="preserve"> </w:t>
      </w:r>
      <w:r>
        <w:t xml:space="preserve">W04 verification session, run under background load, baseline re-check 50.61 ms;</w:t>
      </w:r>
      <w:r>
        <w:t xml:space="preserve"> </w:t>
      </w:r>
      <w:r>
        <w:rPr>
          <w:bCs/>
          <w:b/>
        </w:rPr>
        <w:t xml:space="preserve">(f)</w:t>
      </w:r>
      <w:r>
        <w:t xml:space="preserve"> </w:t>
      </w:r>
      <w:r>
        <w:t xml:space="preserve">W03 distillation session (</w:t>
      </w:r>
      <w:r>
        <w:rPr>
          <w:rStyle w:val="VerbatimChar"/>
        </w:rPr>
        <w:t xml:space="preserve">W03_Distillation_Notebook.ipynb</w:t>
      </w:r>
      <w:r>
        <w:t xml:space="preserve">), which took no baseline re-check — its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cells quote the clean-session range, and the directly comparable pair is the student vs its control within the session. Only configurations with all eight elements measured appear here; the full sweeps live in</w:t>
      </w:r>
      <w:r>
        <w:t xml:space="preserve"> </w:t>
      </w:r>
      <w:r>
        <w:rPr>
          <w:rStyle w:val="VerbatimChar"/>
        </w:rPr>
        <w:t xml:space="preserve">/experiments/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Technique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Ratio / bit-width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Base acc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Comp. acc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Acc loss (pp)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Size before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Size after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Lat. before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Lat. after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PTQ INT8 per-channel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8-bit (size /3.4)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93.38%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15.91%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−77.47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1.83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38.5 ms (a)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3.42 ms (a)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PTQ INT8 per-tensor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8-bit (size /3.8)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93.38%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10.00%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−83.38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1.65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38.5 ms (a)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3.36 ms (a)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QAT INT8, 3 ep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8-bit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93.38%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14.67%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−78.71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1.83 MB*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38.5 ms (a)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3.42 ms* (a)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Prune 10% + ft3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channels −10% (params −18.8%)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93.38%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89.50%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−3.88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5.08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39.21 ms (g)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33.77 ms (g)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Prune 12% + ft3 (W04 verification)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channels −12% (params −22.4%)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93.38%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88.45%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−4.93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4.87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50.61 ms (e)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46.62 ms (e)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Prune 15% + ft3 (W04 verification)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channels −15% (params −27.4%)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93.38%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85.32%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−8.06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4.56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50.61 ms (e)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43.53 ms (e)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Prune 40% + ft3 (PELT point)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channels −40% (params −63%)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93.38%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56.60%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−36.78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2.37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39.21 ms (g)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22.70 ms (g)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Prune 50% + ft3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channels −50%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93.38%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54.91%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−38.47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1.72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39.21 ms (g)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19.27 ms (g)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Prune 90% + ft3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channels −90% (params −98.6%)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93.38%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33.71%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−59.67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0.17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39.21 ms (g)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4.89 ms (g)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KD student, T=2 / alpha=0.5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width x0.5 (params −73%, size /3.6)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93.38%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50.42%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−42.96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1.74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37.3–39.2 ms (clean)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25.82 ms (f)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Same student, from scratch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width x0.5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93.38%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47.40%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−45.98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1.74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37.3–39.2 ms (clean)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25.81 ms (f)</w:t>
            </w:r>
          </w:p>
        </w:tc>
      </w:tr>
    </w:tbl>
    <w:p>
      <w:pPr>
        <w:pStyle w:val="BodyText"/>
      </w:pPr>
      <w:r>
        <w:t>* QAT produces the same quantization scheme as per-channel PTQ; size and latency measured on the per-channel artifact and reused. The retired ft3 latency column sits 32–75% above the architecture-identical clean values quoted here (50%: 33.71 ms ft3 vs 19.27 / 19.37 ms clean) — Section 3.4. (e) The W04 session ran under background load; a 2026-07-30 re-measurement read 43.79 / 42.20 ms but failed its own baseline control (49.61 ms) and is likewise session-annotated (Section 10.1). Committed-CSV note:</w:t>
      </w:r>
      <w:r>
        <w:t xml:space="preserve"> </w:t>
      </w:r>
      <w:r>
        <w:rPr>
          <w:rStyle w:val="VerbatimChar"/>
        </w:rPr>
        <w:t xml:space="preserve">experiments/W02_ptq_results.csv</w:t>
      </w:r>
      <w:r>
        <w:t xml:space="preserve"> </w:t>
      </w:r>
      <w:r>
        <w:t xml:space="preserve">holds the Week-4 re-run (FP32 37.33 -&gt; 3.34 ms, 11.18x); the (a) rows quote the original memo session (38.5 -&gt; 3.42 ms, 11.3x) — accuracy and size identical, milliseconds within normal clean-session drift. The GA micro-NAS best (0.465 MB, 32.7%</w:t>
      </w:r>
      <w:r>
        <w:t xml:space="preserve"> </w:t>
      </w:r>
      <w:r>
        <w:rPr>
          <w:iCs/>
          <w:i/>
        </w:rPr>
        <w:t xml:space="preserve">proxy</w:t>
      </w:r>
      <w:r>
        <w:t xml:space="preserve">) is excluded: its proxy metric is not comparable to full-test accuracy (Section 8).</w:t>
      </w:r>
    </w:p>
    <w:bookmarkEnd w:id="55"/>
    <w:bookmarkStart w:id="59" w:name="the-frontier-and-the-empty-corner"/>
    <w:p>
      <w:pPr>
        <w:pStyle w:val="Heading3"/>
      </w:pPr>
      <w:r>
        <w:t xml:space="preserve">6.2 The frontier and the empty corner</w:t>
      </w:r>
    </w:p>
    <w:p>
      <w:pPr>
        <w:pStyle w:val="FirstParagraph"/>
      </w:pPr>
      <w:r>
        <w:t xml:space="preserve">On the accuracy-vs-size plane, the Pareto frontier runs from the FP32 baseline down the pruning-recovery chain (10% -&gt; 20% -&gt; … -&gt; 90%, with 60% excepted — it is dominated by 70%, which is both smaller and more accurate); the distilled student sits below the pruned model of comparable size, and the INT8 points occupy the small-size / collapsed-accuracy corner — real compression, unusable accuracy. Latency as point color shows why INT8 stays strategically interesting despite the collapse: 3.3–3.4 ms, the fastest corner measured — the speed mechanism is intact where accuracy fails.</w:t>
      </w:r>
    </w:p>
    <w:p>
      <w:pPr>
        <w:pStyle w:val="BodyText"/>
      </w:pPr>
      <w:r>
        <w:t xml:space="preserve">The decision-relevant feature is the</w:t>
      </w:r>
      <w:r>
        <w:t xml:space="preserve"> </w:t>
      </w:r>
      <w:r>
        <w:rPr>
          <w:bCs/>
          <w:b/>
        </w:rPr>
        <w:t xml:space="preserve">empty upper-left region</w:t>
      </w:r>
      <w:r>
        <w:t xml:space="preserve">: no measured configuration achieves &gt; 85% accuracy below 3 MB. That empty corner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Sentinel Prime infeasibility finding, and it is why the Sentinel recommendation is a route (distillation at production budget) rather than a config.</w:t>
      </w:r>
    </w:p>
    <w:p>
      <w:pPr>
        <w:pStyle w:val="CaptionedFigure"/>
      </w:pPr>
      <w:r>
        <w:drawing>
          <wp:inline>
            <wp:extent cx="3840480" cy="2346960"/>
            <wp:effectExtent b="0" l="0" r="0" t="0"/>
            <wp:docPr descr="Figure 5 — Combined four-technique Pareto: accuracy vs size, points colored by clean-session latency; platform budget lines at 5 MB and 3 MB; W04 verification points drawn uncolored (loaded-session latency)." title="" id="57" name="Picture"/>
            <a:graphic>
              <a:graphicData uri="http://schemas.openxmlformats.org/drawingml/2006/picture">
                <pic:pic>
                  <pic:nvPicPr>
                    <pic:cNvPr descr="figs/W04_pareto_combine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Combined four-technique Pareto: accuracy vs size, points colored by clean-session latency; platform budget lines at 5 MB and 3 MB; W04 verification points drawn uncolored (loaded-session latency).</w:t>
      </w:r>
    </w:p>
    <w:bookmarkEnd w:id="59"/>
    <w:bookmarkStart w:id="60" w:name="per-platform-feasibility"/>
    <w:p>
      <w:pPr>
        <w:pStyle w:val="Heading3"/>
      </w:pPr>
      <w:r>
        <w:t xml:space="preserve">6.3 Per-platform feasibility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Platform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Budget (MB / ms)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Best measured option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Meets budget?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Aido Rover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5 / &lt; 100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Prune 12% + ft3: 88.45% / 4.87 MB / 46.6 ms (e)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Yes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— 0.13 MB headroom; within 0.5 pp of the W02 extrapolation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Sentinel Prime AI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3 / &lt; 200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None viable: prune 40% fits size (2.37 MB) at 56.60%; INT8 fits size (1.83 MB) with collapsed accuracy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 — distillation route is the only credible path (Section 7, 9)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Aido Humanoid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 / &lt; 50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Prune 10% + ft3: 33.8 ms on dev machine (clean session)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Latency passes on dev hardware; must be re-validated on target ARM (Section 10)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Fari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20 / &lt; 500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FP32 baseline as-is: 93.38% / 6.24 MB / ~38 ms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Yes, with wide margin — constraints non-binding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Senpai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20 / 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Extrapolated from Fari (vision-CNN evidence only)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Testing plan, not sign-off (Section 9.5)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9" w:name="X2f8027d8bc7160c7491a57bf2ff630f04f6e670"/>
    <w:p>
      <w:pPr>
        <w:pStyle w:val="Heading2"/>
      </w:pPr>
      <w:r>
        <w:t xml:space="preserve">7. Knowledge Distillation: Teacher–Student Scheme, T/alpha Sweep, and the Four-Way Comparison</w:t>
      </w:r>
    </w:p>
    <w:bookmarkStart w:id="62" w:name="X2c62da82a494923b745dca893850954d9b6fe3e"/>
    <w:p>
      <w:pPr>
        <w:pStyle w:val="Heading3"/>
      </w:pPr>
      <w:r>
        <w:t xml:space="preserve">7.1 Design rationale — capacity as the only variable</w:t>
      </w:r>
    </w:p>
    <w:p>
      <w:pPr>
        <w:pStyle w:val="FirstParagraph"/>
      </w:pPr>
      <w:r>
        <w:rPr>
          <w:bCs/>
          <w:b/>
        </w:rPr>
        <w:t xml:space="preserve">Teacher:</w:t>
      </w:r>
      <w:r>
        <w:t xml:space="preserve"> </w:t>
      </w:r>
      <w:r>
        <w:t xml:space="preserve">the project’s own fine-tuned baseline (93.38% / 6.24 MB; 37.3–39.2 ms across clean sessions, the latency reference here), rather than a larger public model, so the entire W1–W3 comparison chain stays anchored to one reference model.</w:t>
      </w:r>
      <w:r>
        <w:t xml:space="preserve"> </w:t>
      </w:r>
      <w:r>
        <w:rPr>
          <w:bCs/>
          <w:b/>
        </w:rPr>
        <w:t xml:space="preserve">Student:</w:t>
      </w:r>
      <w:r>
        <w:t xml:space="preserve"> </w:t>
      </w:r>
      <w:r>
        <w:t xml:space="preserve">MobileNetV3-Small at</w:t>
      </w:r>
      <w:r>
        <w:t xml:space="preserve"> </w:t>
      </w:r>
      <w:r>
        <w:rPr>
          <w:rStyle w:val="VerbatimChar"/>
        </w:rPr>
        <w:t xml:space="preserve">width_mult=0.5</w:t>
      </w:r>
      <w:r>
        <w:t xml:space="preserve"> </w:t>
      </w:r>
      <w:r>
        <w:t xml:space="preserve">— identical layer structure, half the channels: 409,394 parameters (−73.2%; within the plan’s 50–70% target). A same-family width-scaled student keeps capacity as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variable between teacher and student — any gap is attributable to capacity plus training signal, never to architectural confounds — and stays directly comparable to the Week-2 pruned models.</w:t>
      </w:r>
    </w:p>
    <w:p>
      <w:pPr>
        <w:pStyle w:val="BodyText"/>
      </w:pPr>
      <w:r>
        <w:rPr>
          <w:bCs/>
          <w:b/>
        </w:rPr>
        <w:t xml:space="preserve">Loss (Hinton et al. [5]):</w:t>
      </w:r>
      <w:r>
        <w:t xml:space="preserve"> </w:t>
      </w:r>
      <w:r>
        <w:t xml:space="preserve">L = alpha * CE(student, labels) + (1 − alpha) * KL(softmax(student/T) || softmax(teacher/T)) * T^2, with teacher logits precomputed once over the 5k training subset (</w:t>
      </w:r>
      <w:r>
        <w:rPr>
          <w:rStyle w:val="VerbatimChar"/>
        </w:rPr>
        <w:t xml:space="preserve">experiments/W03_teacher_logits_5k.pt</w:t>
      </w:r>
      <w:r>
        <w:t xml:space="preserve">) so the teacher never runs inside the training loop.</w:t>
      </w:r>
      <w:r>
        <w:t xml:space="preserve"> </w:t>
      </w:r>
      <w:r>
        <w:rPr>
          <w:bCs/>
          <w:b/>
        </w:rPr>
        <w:t xml:space="preserve">Sweep:</w:t>
      </w:r>
      <w:r>
        <w:t xml:space="preserve"> </w:t>
      </w:r>
      <w:r>
        <w:t xml:space="preserve">T in {2, 4, 8} x alpha in {0.3, 0.5, 0.7} — 9 configurations, 8 epochs x 5k images each, seed 42.</w:t>
      </w:r>
      <w:r>
        <w:t xml:space="preserve"> </w:t>
      </w:r>
      <w:r>
        <w:rPr>
          <w:bCs/>
          <w:b/>
        </w:rPr>
        <w:t xml:space="preserve">Control:</w:t>
      </w:r>
      <w:r>
        <w:t xml:space="preserve"> </w:t>
      </w:r>
      <w:r>
        <w:t xml:space="preserve">the identical student trained from scratch (hard labels only) with the same data, budget, and initialization seed, so the distillation signal is isolated.</w:t>
      </w:r>
    </w:p>
    <w:bookmarkEnd w:id="62"/>
    <w:bookmarkStart w:id="63" w:name="X7d27d281a39ef92313091bf3efe532bd861f1ed"/>
    <w:p>
      <w:pPr>
        <w:pStyle w:val="Heading3"/>
      </w:pPr>
      <w:r>
        <w:t xml:space="preserve">7.2 A documented dead end that set the budget</w:t>
      </w:r>
    </w:p>
    <w:p>
      <w:pPr>
        <w:pStyle w:val="FirstParagraph"/>
      </w:pPr>
      <w:r>
        <w:t xml:space="preserve">The first sweep ran 3 epochs per configuration and returned 10.00% — random-guess — on its first config. A 60-step probe showed CE loss falling normally (2.15 -&gt; 1.58), so the mechanics were sound and the failure was</w:t>
      </w:r>
      <w:r>
        <w:t xml:space="preserve"> </w:t>
      </w:r>
      <w:r>
        <w:rPr>
          <w:bCs/>
          <w:b/>
        </w:rPr>
        <w:t xml:space="preserve">budget starvation</w:t>
      </w:r>
      <w:r>
        <w:t xml:space="preserve">, not a bug — the same lesson as the Week-2 recovery probe. The sweep was re-run at 8 epochs; the failed run is archived (</w:t>
      </w:r>
      <w:r>
        <w:rPr>
          <w:rStyle w:val="VerbatimChar"/>
        </w:rPr>
        <w:t xml:space="preserve">experiments/W03_distill_sweep_3ep_underfit.csv</w:t>
      </w:r>
      <w:r>
        <w:t xml:space="preserve">) rather than deleted. The control uses the same 8-epoch budget.</w:t>
      </w:r>
    </w:p>
    <w:bookmarkEnd w:id="63"/>
    <w:bookmarkStart w:id="67" w:name="sweep-results"/>
    <w:p>
      <w:pPr>
        <w:pStyle w:val="Heading3"/>
      </w:pPr>
      <w:r>
        <w:t xml:space="preserve">7.3 Sweep results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Test accuracy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alpha = 0.3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alpha = 0.5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alpha = 0.7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T = 2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48.38%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50.42%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46.75%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T = 4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46.41%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43.67%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46.37%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bCs/>
                <w:b/>
                <w:sz w:val="18"/>
              </w:rPr>
              <w:t xml:space="preserve">T = 8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39.26%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45.43%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47.00%</w:t>
            </w:r>
          </w:p>
        </w:tc>
      </w:tr>
    </w:tbl>
    <w:p>
      <w:pPr>
        <w:pStyle w:val="BodyText"/>
      </w:pPr>
      <w:r>
        <w:t xml:space="preserve">Best distilled student (T=2, alpha=0.5):</w:t>
      </w:r>
      <w:r>
        <w:t xml:space="preserve"> </w:t>
      </w:r>
      <w:r>
        <w:rPr>
          <w:bCs/>
          <w:b/>
        </w:rPr>
        <w:t xml:space="preserve">50.42% / 1.74 MB / 25.82 +- 0.77 ms</w:t>
      </w:r>
      <w:r>
        <w:t xml:space="preserve">. From-scratch control:</w:t>
      </w:r>
      <w:r>
        <w:t xml:space="preserve"> </w:t>
      </w:r>
      <w:r>
        <w:rPr>
          <w:bCs/>
          <w:b/>
        </w:rPr>
        <w:t xml:space="preserve">47.40% / 1.74 MB / 25.81 +- 0.80 ms</w:t>
      </w:r>
      <w:r>
        <w:t xml:space="preserve"> </w:t>
      </w:r>
      <w:r>
        <w:t xml:space="preserve">— identical within noise, as they must be for two runs of the same architecture: the distillation signal is an accuracy effect, not a latency one. It is worth</w:t>
      </w:r>
      <w:r>
        <w:t xml:space="preserve"> </w:t>
      </w:r>
      <w:r>
        <w:rPr>
          <w:bCs/>
          <w:b/>
        </w:rPr>
        <w:t xml:space="preserve">+3.02 pp</w:t>
      </w:r>
      <w:r>
        <w:t xml:space="preserve"> </w:t>
      </w:r>
      <w:r>
        <w:t xml:space="preserve">under this controlled comparison — but only</w:t>
      </w:r>
      <w:r>
        <w:t xml:space="preserve"> </w:t>
      </w:r>
      <w:r>
        <w:rPr>
          <w:bCs/>
          <w:b/>
        </w:rPr>
        <w:t xml:space="preserve">2 of 9</w:t>
      </w:r>
      <w:r>
        <w:t xml:space="preserve"> </w:t>
      </w:r>
      <w:r>
        <w:t xml:space="preserve">configurations beat the control, and the worst (T=8, alpha=0.3 at 39.26%) lands ~8 pp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it. The nine-cell mean is 45.97%, 1.43 pp below the control, and each cell is a single seed-42 run with no measured run-to-run variance — the +3.02 pp belongs to the tuned configuration, not to distillation by default.</w:t>
      </w:r>
    </w:p>
    <w:p>
      <w:pPr>
        <w:pStyle w:val="CaptionedFigure"/>
      </w:pPr>
      <w:r>
        <w:drawing>
          <wp:inline>
            <wp:extent cx="3840480" cy="2936837"/>
            <wp:effectExtent b="0" l="0" r="0" t="0"/>
            <wp:docPr descr="Figure 6 — T × α heatmap of student test accuracy (8 ep × 5k, seed 42); the from-scratch control (47.40%) marked — 2 of 9 cells exceed it." title="" id="65" name="Picture"/>
            <a:graphic>
              <a:graphicData uri="http://schemas.openxmlformats.org/drawingml/2006/picture">
                <pic:pic>
                  <pic:nvPicPr>
                    <pic:cNvPr descr="figs/W04_distill_heatmap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936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T × α heatmap of student test accuracy (8 ep × 5k, seed 42); the from-scratch control (47.40%) marked — 2 of 9 cells exceed it.</w:t>
      </w:r>
    </w:p>
    <w:bookmarkEnd w:id="67"/>
    <w:bookmarkStart w:id="68" w:name="Xa3bb1ffe32b992a670c7e17bf732342d2801562"/>
    <w:p>
      <w:pPr>
        <w:pStyle w:val="Heading3"/>
      </w:pPr>
      <w:r>
        <w:t xml:space="preserve">7.4 Mechanism, and how distillation compares with quantization and pruning</w:t>
      </w:r>
    </w:p>
    <w:p>
      <w:pPr>
        <w:pStyle w:val="FirstParagraph"/>
      </w:pPr>
      <w:r>
        <w:rPr>
          <w:bCs/>
          <w:b/>
        </w:rPr>
        <w:t xml:space="preserve">Why low temperature wins here.</w:t>
      </w:r>
      <w:r>
        <w:t xml:space="preserve"> </w:t>
      </w:r>
      <w:r>
        <w:t xml:space="preserve">The teacher is already confident (93.38%), so mild softening (T=2) transfers useful inter-class structure while preserving a strong training signal; T=8 over-smooths the teacher’s distribution into a weak, near-uniform target — the 8 pp-below-control cell is what an over-smoothed signal costs. The gain is hyperparameter-sensitive enough that a deployment pipeline should treat (T, alpha) as a swept design decision, never a default.</w:t>
      </w:r>
    </w:p>
    <w:p>
      <w:pPr>
        <w:pStyle w:val="BodyText"/>
      </w:pPr>
      <w:r>
        <w:rPr>
          <w:bCs/>
          <w:b/>
        </w:rPr>
        <w:t xml:space="preserve">The inheritance gap.</w:t>
      </w:r>
      <w:r>
        <w:t xml:space="preserve"> </w:t>
      </w:r>
      <w:r>
        <w:t xml:space="preserve">The capacity-matched comparison in Section 6.1 is prune-50% vs the distilled student: 403,354 vs 409,394 parameters, 1.72 vs 1.74 MB — and the pruned model leads</w:t>
      </w:r>
      <w:r>
        <w:t xml:space="preserve"> </w:t>
      </w:r>
      <w:r>
        <w:rPr>
          <w:bCs/>
          <w:b/>
        </w:rPr>
        <w:t xml:space="preserve">54.91% to 50.42%</w:t>
      </w:r>
      <w:r>
        <w:t xml:space="preserve">, a 4.49 pp gap for the route that keeps trained weights. Budgets remain unmatched (3 ep x 20k from the fine-tuned checkpoint, lr 1e-4, vs 8 ep x 5k from random init, lr 1e-3), so the gap is</w:t>
      </w:r>
      <w:r>
        <w:t xml:space="preserve"> </w:t>
      </w:r>
      <w:r>
        <w:rPr>
          <w:iCs/>
          <w:i/>
        </w:rPr>
        <w:t xml:space="preserve">consistent with</w:t>
      </w:r>
      <w:r>
        <w:t xml:space="preserve"> </w:t>
      </w:r>
      <w:r>
        <w:t xml:space="preserve">the inheritance mechanism — pruning keeps trained feature detectors; a student re-grows them — rather than proof of it; capacity is the only controlled variable. The strategic consequence stands either way: pruning wins wherever the budget permits keeping most of the trained network; distillation is the route for budgets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what light pruning can reach (Sentinel’s &lt; 3 MB), because a student sized to the target from the start avoids the post-hoc compression penalty entirely — provided it gets a production-scale training budget rather than the exploration budget used here.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X270badf5f4b6995d4e867444e3241581863c4fa"/>
    <w:p>
      <w:pPr>
        <w:pStyle w:val="Heading2"/>
      </w:pPr>
      <w:r>
        <w:t xml:space="preserve">8. GA Micro-NAS Sketch: Methodology, Orienteering-Solver Mapping, and Best Architecture</w:t>
      </w:r>
    </w:p>
    <w:bookmarkStart w:id="70" w:name="methodology"/>
    <w:p>
      <w:pPr>
        <w:pStyle w:val="Heading3"/>
      </w:pPr>
      <w:r>
        <w:t xml:space="preserve">8.1 Methodology</w:t>
      </w:r>
    </w:p>
    <w:p>
      <w:pPr>
        <w:pStyle w:val="FirstParagraph"/>
      </w:pPr>
      <w:r>
        <w:t xml:space="preserve">A genetic-algorithm micro-search over a small CNN space, the Aido Rover size budget wired into the objective.</w:t>
      </w:r>
      <w:r>
        <w:t xml:space="preserve"> </w:t>
      </w:r>
      <w:r>
        <w:rPr>
          <w:bCs/>
          <w:b/>
        </w:rPr>
        <w:t xml:space="preserve">Chromosome:</w:t>
      </w:r>
      <w:r>
        <w:t xml:space="preserve"> </w:t>
      </w:r>
      <w:r>
        <w:t xml:space="preserve">5 genes — 4 conv-channel genes over {8, 16, 24, 32, 48, 64} + 1 FC-width gene over {64, 128, 256}.</w:t>
      </w:r>
      <w:r>
        <w:t xml:space="preserve"> </w:t>
      </w:r>
      <w:r>
        <w:rPr>
          <w:bCs/>
          <w:b/>
        </w:rPr>
        <w:t xml:space="preserve">Fitness = proxy accuracy − 10 x max(0, size_MB − 5).</w:t>
      </w:r>
      <w:r>
        <w:t xml:space="preserve"> </w:t>
      </w:r>
      <w:r>
        <w:rPr>
          <w:bCs/>
          <w:b/>
        </w:rPr>
        <w:t xml:space="preserve">Settings:</w:t>
      </w:r>
      <w:r>
        <w:t xml:space="preserve"> </w:t>
      </w:r>
      <w:r>
        <w:t xml:space="preserve">population 10, 15 generations, seed 42; tournament selection (k = 3), one-point crossover, per-gene mutation (p = 0.2), elitism (top-2), and a fitness cache.</w:t>
      </w:r>
      <w:r>
        <w:t xml:space="preserve"> </w:t>
      </w:r>
      <w:r>
        <w:rPr>
          <w:bCs/>
          <w:b/>
        </w:rPr>
        <w:t xml:space="preserve">Proxy protocol:</w:t>
      </w:r>
      <w:r>
        <w:t xml:space="preserve"> </w:t>
      </w:r>
      <w:r>
        <w:t xml:space="preserve">1 epoch on 2,000 CIFAR-10 images at 32x32, evaluated on a 1,000-image subset — proxy accuracies rank candidates within the search and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comparable to the full-training numbers elsewhere in this report. The search runs as a script (</w:t>
      </w:r>
      <w:r>
        <w:rPr>
          <w:rStyle w:val="VerbatimChar"/>
        </w:rPr>
        <w:t xml:space="preserve">scripts/w03_nas_ga.py</w:t>
      </w:r>
      <w:r>
        <w:t xml:space="preserve">); the notebook analyzes the run log (</w:t>
      </w:r>
      <w:r>
        <w:rPr>
          <w:rStyle w:val="VerbatimChar"/>
        </w:rPr>
        <w:t xml:space="preserve">experiments/W03_nas_ga_log.csv</w:t>
      </w:r>
      <w:r>
        <w:t xml:space="preserve">).</w:t>
      </w:r>
    </w:p>
    <w:bookmarkEnd w:id="70"/>
    <w:bookmarkStart w:id="71" w:name="orienteering-solver-mapping"/>
    <w:p>
      <w:pPr>
        <w:pStyle w:val="Heading3"/>
      </w:pPr>
      <w:r>
        <w:t xml:space="preserve">8.2 Orienteering-solver mapping</w:t>
      </w:r>
    </w:p>
    <w:p>
      <w:pPr>
        <w:pStyle w:val="FirstParagraph"/>
      </w:pPr>
      <w:r>
        <w:t xml:space="preserve">The search machinery is a direct port of my orienteering-problem GA solver — the same algorithmic skeleton with a different genome: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 component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Orienteering solver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Micro-NAS equivalent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Genome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Route encoding (node-sequence chromosome)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Architecture chromosome: 4 conv-channel genes + 1 FC-width gene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Fitness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Route score under a time/distance budget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Proxy accuracy − 10 x max(0, size_MB − 5): the Rover 5 MB budget as the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distance budget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Selection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Favor high-scoring routes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Tournament selection, k = 3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Crossover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Route segment exchange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One-point gene crossover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Mutation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Node swap / perturbation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Per-gene random re-draw, p = 0.2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Addition beyond the solver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Elitism (top-2) + fitness cache to avoid retraining duplicates</w:t>
            </w:r>
          </w:p>
        </w:tc>
      </w:tr>
    </w:tbl>
    <w:p>
      <w:pPr>
        <w:pStyle w:val="BodyText"/>
      </w:pPr>
      <w:r>
        <w:t xml:space="preserve">The transfer is the point: a budget-constrained combinatorial search is the same problem shape whether the genome is a route or a channel-width vector.</w:t>
      </w:r>
    </w:p>
    <w:bookmarkEnd w:id="71"/>
    <w:bookmarkStart w:id="75" w:name="X3e4f21d80935667830cf65866c47f092f772f6e"/>
    <w:p>
      <w:pPr>
        <w:pStyle w:val="Heading3"/>
      </w:pPr>
      <w:r>
        <w:t xml:space="preserve">8.3 Results — genuine selection pressure, honest non-win</w:t>
      </w:r>
    </w:p>
    <w:p>
      <w:pPr>
        <w:pStyle w:val="FirstParagraph"/>
      </w:pPr>
      <w:r>
        <w:rPr>
          <w:bCs/>
          <w:b/>
        </w:rPr>
        <w:t xml:space="preserve">Best architecture found: conv channels [64, 64, 48, 32] + FC 256 (chromosome [5, 5, 4, 3, 2]) — 0.465 MB at 32.7% proxy accuracy.</w:t>
      </w:r>
      <w:r>
        <w:t xml:space="preserve"> </w:t>
      </w:r>
      <w:r>
        <w:t xml:space="preserve">The evolution trace shows genuine selection pressure rather than drift: both fitness jumps (generations 4 and 11) occurred on the</w:t>
      </w:r>
      <w:r>
        <w:t xml:space="preserve"> </w:t>
      </w:r>
      <w:r>
        <w:rPr>
          <w:bCs/>
          <w:b/>
        </w:rPr>
        <w:t xml:space="preserve">same gene — the 4th conv block, growing from its generation-0 initial value of 8 channels to 24 and then 32</w:t>
      </w:r>
      <w:r>
        <w:t xml:space="preserve">. The GA added capacity at the bottleneck while the other genes stayed at high-capacity options — the intervention a hand-designer would apply.</w:t>
      </w:r>
    </w:p>
    <w:p>
      <w:pPr>
        <w:pStyle w:val="BodyText"/>
      </w:pPr>
      <w:r>
        <w:t xml:space="preserve">As the plan anticipated, the GA did not beat the hand-designed references — and the numbers are additionally non-comparable across training protocols, which is why the GA row is excluded from the Section 6.1 eight-element table: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Model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Size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Accuracy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Training budget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GA-found best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0.465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32.7% (proxy)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 ep x 2k, 32px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Hand-designed student (width-0.5 MNv3, from scratch)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1.74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47.40%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8 ep x 5k, 224px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Baseline (fine-tuned MNv3-Small teacher)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93.38%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Full fine-tune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limitations, stated plainly.</w:t>
      </w:r>
      <w:r>
        <w:t xml:space="preserve"> </w:t>
      </w:r>
      <w:r>
        <w:t xml:space="preserve">(1) The &lt; 5 MB size penalty</w:t>
      </w:r>
      <w:r>
        <w:t xml:space="preserve"> </w:t>
      </w:r>
      <w:r>
        <w:rPr>
          <w:bCs/>
          <w:b/>
        </w:rPr>
        <w:t xml:space="preserve">never activated</w:t>
      </w:r>
      <w:r>
        <w:t xml:space="preserve">: the search space caps out well below the budget, so the hardware constraint was non-binding in this run — a tighter budget or a latency term would make the trade-off active — the first change for a follow-up search. (2) Proxy fidelity (1 ep, 32px) is assumed, not validated. The sketch’s role is methodological — working search machinery with a hardware constraint in the fitness and a one-to-one solver mapping; a foundation, not a deployment path.</w:t>
      </w:r>
    </w:p>
    <w:p>
      <w:pPr>
        <w:pStyle w:val="CaptionedFigure"/>
      </w:pPr>
      <w:r>
        <w:drawing>
          <wp:inline>
            <wp:extent cx="3840480" cy="1964896"/>
            <wp:effectExtent b="0" l="0" r="0" t="0"/>
            <wp:docPr descr="Figure 7 — GA micro-NAS: best fitness and best-candidate size per generation (pop 10, 15 gens); both jumps (gen 4 and 11) on the 4th-conv-block gene." title="" id="73" name="Picture"/>
            <a:graphic>
              <a:graphicData uri="http://schemas.openxmlformats.org/drawingml/2006/picture">
                <pic:pic>
                  <pic:nvPicPr>
                    <pic:cNvPr descr="figs/W03_nas_evoluti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964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GA micro-NAS: best fitness and best-candidate size per generation (pop 10, 15 gens); both jumps (gen 4 and 11) on the 4th-conv-block gene.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X9148d71c6f153e2e51ad96105f6d04ff11020a9"/>
    <w:p>
      <w:pPr>
        <w:pStyle w:val="Heading2"/>
      </w:pPr>
      <w:r>
        <w:t xml:space="preserve">9. Compression Playbook: Per-Platform Recommendations</w:t>
      </w:r>
    </w:p>
    <w:p>
      <w:pPr>
        <w:pStyle w:val="FirstParagraph"/>
      </w:pPr>
      <w:r>
        <w:rPr>
          <w:bCs/>
          <w:b/>
        </w:rPr>
        <w:t xml:space="preserve">Cross-cutting finding.</w:t>
      </w:r>
      <w:r>
        <w:t xml:space="preserve"> </w:t>
      </w:r>
      <w:r>
        <w:t>A compact, efficiency-optimized architecture resists post-hoc compression through two distinct mechanisms with one shared origin: INT8 collapses on a single-tensor activation-range pathology (hard-swish stem) that neither fallback quantization nor the 3-epoch QAT run repairs, and pruning shows no loss-free region under the tested recovery budget — the 3.88 pp post-recovery residual at 10% being the direct evidence that dormant capacity is scarce. The stronger routes are light pruning with a recovery budget, or training a smaller model directly (distillation — validated direction, budget-limited in Week 3). Every recommendation below states its hardware class: INT8 acceleration is ISA-dependent, and absolute latencies come from an Apple M1 dev CPU, not target silicon.</w:t>
      </w:r>
    </w:p>
    <w:bookmarkStart w:id="77" w:name="X88a6eb5bde8d0dc1f5e003b062e2b9a681a8870"/>
    <w:p>
      <w:pPr>
        <w:pStyle w:val="Heading3"/>
      </w:pPr>
      <w:r>
        <w:t xml:space="preserve">9.1 Aido Rover — outdoor patrol, onboard perception (&lt; 5 MB, &lt; 100 ms; ARM Cortex-A class)</w:t>
      </w:r>
    </w:p>
    <w:p>
      <w:pPr>
        <w:pStyle w:val="FirstParagraph"/>
      </w:pPr>
      <w:r>
        <w:rPr>
          <w:bCs/>
          <w:b/>
        </w:rPr>
        <w:t>Primary: structured pruning at 12% + recovery fine-tuning — measured, not extrapolated: 88.45% / 4.87 MB / 46.6 ms (loaded session; a re-measurement read 43.8 ms but failed its baseline control — Section 10.1), 0.13 MB inside budget.</w:t>
      </w:r>
      <w:r>
        <w:t xml:space="preserve"> </w:t>
      </w:r>
      <w:r>
        <w:t xml:space="preserve">The Week-4 run landed within 0.5 pp of the Week-2 extrapolation; a 15% bracketing point (85.32% / 4.56 MB) prices deeper headroom at roughly 1 pp per nominal percent in this range. Quantization is excluded</w:t>
      </w:r>
      <w:r>
        <w:t xml:space="preserve"> </w:t>
      </w:r>
      <w:r>
        <w:rPr>
          <w:iCs/>
          <w:i/>
        </w:rPr>
        <w:t xml:space="preserve">on this baseline</w:t>
      </w:r>
      <w:r>
        <w:t xml:space="preserve"> </w:t>
      </w:r>
      <w:r>
        <w:t xml:space="preserve">(PTQ 15.91%, 3-ep QAT 14.67% — the activation pathology of Section 4; the speed mechanism itself is intact at 3.42 ms).</w:t>
      </w:r>
      <w:r>
        <w:t xml:space="preserve"> </w:t>
      </w:r>
      <w:r>
        <w:rPr>
          <w:bCs/>
          <w:b/>
        </w:rPr>
        <w:t xml:space="preserve">Ratio guidance:</w:t>
      </w:r>
      <w:r>
        <w:t xml:space="preserve"> </w:t>
      </w:r>
      <w:r>
        <w:t xml:space="preserve">10–15% by accuracy-vs-headroom need (10%: 89.50% / 5.08 MB — over budget; 12%: 88.45% / 4.87 MB; 15%: 85.32% / 4.56 MB); PELT 0.4 marks the end of the steep regime, never a safe limit; every step ships with a recovery budget.</w:t>
      </w:r>
      <w:r>
        <w:t xml:space="preserve"> </w:t>
      </w:r>
      <w:r>
        <w:rPr>
          <w:bCs/>
          <w:b/>
        </w:rPr>
        <w:t xml:space="preserve">Secondary:</w:t>
      </w:r>
      <w:r>
        <w:t xml:space="preserve"> </w:t>
      </w:r>
      <w:r>
        <w:t xml:space="preserve">the distilled width-0.5 student (1.74 MB / 25.8 ms) if the size budget ever tightens well below 5 MB — validated route, currently budget-starved at 50.42%.</w:t>
      </w:r>
    </w:p>
    <w:bookmarkEnd w:id="77"/>
    <w:bookmarkStart w:id="78" w:name="X0a3284d69e2765c5d07431e6a5a33e8448330e1"/>
    <w:p>
      <w:pPr>
        <w:pStyle w:val="Heading3"/>
      </w:pPr>
      <w:r>
        <w:t xml:space="preserve">9.2 Sentinel Prime AI — battery-powered, always-on (&lt; 3 MB, &lt; 200 ms; ARM edge CPU)</w:t>
      </w:r>
    </w:p>
    <w:p>
      <w:pPr>
        <w:pStyle w:val="FirstParagraph"/>
      </w:pPr>
      <w:r>
        <w:rPr>
          <w:bCs/>
          <w:b/>
        </w:rPr>
        <w:t xml:space="preserve">Honest finding first: no measured W2/W3 configuration deploys today.</w:t>
      </w:r>
      <w:r>
        <w:t xml:space="preserve"> </w:t>
      </w:r>
      <w:r>
        <w:t xml:space="preserve">Under 3 MB the options are pruning @ 40% (2.37 MB, 56.60%) and INT8 (1.83 MB, collapsed) — the budget-compliant pruning region (&gt;= 40% by the size curve) lies at or past the PELT changepoint, inside the collapsed regime.</w:t>
      </w:r>
      <w:r>
        <w:t xml:space="preserve"> </w:t>
      </w:r>
      <w:r>
        <w:rPr>
          <w:bCs/>
          <w:b/>
        </w:rPr>
        <w:t xml:space="preserve">Primary route: knowledge distillation into a purpose-sized student at a production training budget.</w:t>
      </w:r>
      <w:r>
        <w:t xml:space="preserve"> </w:t>
      </w:r>
      <w:r>
        <w:t xml:space="preserve">The width-0.5 student fits with headroom (1.74 MB / 25.8 ms); the +3.02 pp best-cell result validates the signal (hyperparameter-sensitive — Section 7.3), but at the W3 budget it reaches only 50.42% — validated direction, insufficient budget; production-budget accuracy is TBD (90%-class is a target, not a promise).</w:t>
      </w:r>
      <w:r>
        <w:t xml:space="preserve"> </w:t>
      </w:r>
      <w:r>
        <w:rPr>
          <w:bCs/>
          <w:b/>
        </w:rPr>
        <w:t xml:space="preserve">Secondary:</w:t>
      </w:r>
      <w:r>
        <w:t xml:space="preserve"> </w:t>
      </w:r>
      <w:r>
        <w:t xml:space="preserve">re-attempt INT8 on a ReLU-based backbone — the 3.42 ms / 1.83 MB profile is otherwise ideal for a battery platform; a redesign recommendation, not a measured config.</w:t>
      </w:r>
    </w:p>
    <w:bookmarkEnd w:id="78"/>
    <w:bookmarkStart w:id="79" w:name="X2caa7c8013c4b9ac3aa3efafcb6b557d43c5ee3"/>
    <w:p>
      <w:pPr>
        <w:pStyle w:val="Heading3"/>
      </w:pPr>
      <w:r>
        <w:t xml:space="preserve">9.3 Aido Humanoid — bipedal research, joint-sensor sequences (&lt; 50 ms; ARM with NEON-class SIMD)</w:t>
      </w:r>
    </w:p>
    <w:p>
      <w:pPr>
        <w:pStyle w:val="FirstParagraph"/>
      </w:pPr>
      <w:r>
        <w:t xml:space="preserve">Latency is the binding constraint (no size budget defined).</w:t>
      </w:r>
      <w:r>
        <w:t xml:space="preserve"> </w:t>
      </w:r>
      <w:r>
        <w:rPr>
          <w:bCs/>
          <w:b/>
        </w:rPr>
        <w:t xml:space="preserve">Primary: structured channel pruning &lt;= 10% with fine-tuning</w:t>
      </w:r>
      <w:r>
        <w:t xml:space="preserve"> </w:t>
      </w:r>
      <w:r>
        <w:t xml:space="preserve">— noting the W2 negative honestly: zero-shot pruning collapses at every ratio, and even with recovery 10% costs 3.9 pp (Section 5). 10% + ft3 = 33.8 ms on the dev machine (clean session), comfortably under 50 ms</w:t>
      </w:r>
      <w:r>
        <w:t xml:space="preserve"> </w:t>
      </w:r>
      <w:r>
        <w:rPr>
          <w:iCs/>
          <w:i/>
        </w:rPr>
        <w:t xml:space="preserve">there</w:t>
      </w:r>
      <w:r>
        <w:t xml:space="preserve">; the margin must be re-validated on target ARM. Deeper pruning trades accuracy per the ft3 curve (20%: 78.11%, 30%: 68.04%); treat PELT 0.4 as the end of the steep regime, never an operating point.</w:t>
      </w:r>
      <w:r>
        <w:t xml:space="preserve"> </w:t>
      </w:r>
      <w:r>
        <w:rPr>
          <w:bCs/>
          <w:b/>
        </w:rPr>
        <w:t xml:space="preserve">Secondary:</w:t>
      </w:r>
      <w:r>
        <w:t xml:space="preserve"> </w:t>
      </w:r>
      <w:r>
        <w:t xml:space="preserve">a purpose-sized distilled student (25.8 ms, still inside the 50 ms budget) if the control loop tightens further.</w:t>
      </w:r>
    </w:p>
    <w:bookmarkEnd w:id="79"/>
    <w:bookmarkStart w:id="80" w:name="X098d5fcdd8d555d9044531e50170b0463d1e4e9"/>
    <w:p>
      <w:pPr>
        <w:pStyle w:val="Heading3"/>
      </w:pPr>
      <w:r>
        <w:t xml:space="preserve">9.4 Fari — companion device (&lt; 20 MB, &lt; 500 ms; consumer ARM SoC)</w:t>
      </w:r>
    </w:p>
    <w:p>
      <w:pPr>
        <w:pStyle w:val="FirstParagraph"/>
      </w:pPr>
      <w:r>
        <w:rPr>
          <w:bCs/>
          <w:b/>
        </w:rPr>
        <w:t xml:space="preserve">Primary: no compression required — deploy the FP32 baseline as-is (93.38% / 6.24 MB / ~38 ms).</w:t>
      </w:r>
      <w:r>
        <w:t xml:space="preserve"> </w:t>
      </w:r>
      <w:r>
        <w:t xml:space="preserve">Both constraints are non-binding with wide margin, so accuracy decides — the uncompressed baseline wins outright. If headroom is desired, light pruning (10% + ft: 89.50% / 5.08 MB) buys ~19% size for 3.9 pp. In the secondary ranking under Fari-like constraints the pruned route also leads: at matched capacity (~1.7 MB), prune-50% (54.91%) beats the best distilled student (50.42%) by 4.49 pp — consistent with the inheritance mechanism of Section 7.4, though the training budgets differ, so indicative rather than settled.</w:t>
      </w:r>
    </w:p>
    <w:bookmarkEnd w:id="80"/>
    <w:bookmarkStart w:id="81" w:name="X0eb620606842ae7806347158e4659453fa852fc"/>
    <w:p>
      <w:pPr>
        <w:pStyle w:val="Heading3"/>
      </w:pPr>
      <w:r>
        <w:t xml:space="preserve">9.5 Senpai — education robot, retrieval embeddings (&lt; 20 MB; consumer ARM)</w:t>
      </w:r>
    </w:p>
    <w:p>
      <w:pPr>
        <w:pStyle w:val="FirstParagraph"/>
      </w:pPr>
      <w:r>
        <w:rPr>
          <w:bCs/>
          <w:b/>
        </w:rPr>
        <w:t xml:space="preserve">Extrapolation, not a separate measurement.</w:t>
      </w:r>
      <w:r>
        <w:t xml:space="preserve"> </w:t>
      </w:r>
      <w:r>
        <w:t xml:space="preserve">Senpai’s budget profile is closest to Fari’s, so the Fari recommendation extrapolates: the FP32 baseline class fits as-is; light pruning is the headroom option. Two explicit caveats: (1) every number here comes from a</w:t>
      </w:r>
      <w:r>
        <w:t xml:space="preserve"> </w:t>
      </w:r>
      <w:r>
        <w:rPr>
          <w:iCs/>
          <w:i/>
        </w:rPr>
        <w:t xml:space="preserve">vision</w:t>
      </w:r>
      <w:r>
        <w:t xml:space="preserve"> </w:t>
      </w:r>
      <w:r>
        <w:t xml:space="preserve">CNN; embedding models are widely reported as more quantization-tolerant, so INT8 should be</w:t>
      </w:r>
      <w:r>
        <w:t xml:space="preserve"> </w:t>
      </w:r>
      <w:r>
        <w:rPr>
          <w:bCs/>
          <w:b/>
        </w:rPr>
        <w:t xml:space="preserve">re-tested, not presumed broken</w:t>
      </w:r>
      <w:r>
        <w:t xml:space="preserve"> </w:t>
      </w:r>
      <w:r>
        <w:t xml:space="preserve">for Senpai’s workload (Section 10.3); (2) no Senpai-specific measurement exists in W1–W3. Treat this section as a testing plan, not a deployment sign-off.</w:t>
      </w:r>
    </w:p>
    <w:bookmarkEnd w:id="81"/>
    <w:bookmarkStart w:id="82" w:name="cross-platform-summary"/>
    <w:p>
      <w:pPr>
        <w:pStyle w:val="Heading3"/>
      </w:pPr>
      <w:r>
        <w:t xml:space="preserve">9.6 Cross-platform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Platform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Budget (MB / ms)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Primary recommendation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Ratio / bit-width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Expected profile (size / acc / lat)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Aido Rover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5 / &lt; 100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Light pruning + recovery ft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12% (measured, W04 verification)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4.87 MB / 88.45% / 46.6 ms (loaded session)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Sentinel Prime AI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3 / &lt; 200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Distillation route (production budget required)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width x0.5 student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1.74 MB / TBD / 25.8 ms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Aido Humanoid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 / &lt; 50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Structured pruning &lt;= 10%, with ft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&lt;= 10%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5.08 MB / 89.50% / 33.8 ms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Fari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20 / &lt; 500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Deploy FP32 as-is (constraints non-binding)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6.24 MB / 93.38% / ~38 ms</w:t>
            </w:r>
          </w:p>
        </w:tc>
      </w:tr>
      <w:tr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Senpai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&lt; 20 / 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Extrapolated from Fari; re-test INT8 on embeddings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spacing w:after="0" w:before="0"/>
              <w:jc w:val="left"/>
            </w:pPr>
            <w:r>
              <w:rPr>
                <w:sz w:val="18"/>
              </w:rPr>
              <w:t xml:space="preserve">Testing plan, not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90" w:name="X4b7fda03f316587eb79d4dfbb59d3d80c66689f"/>
    <w:p>
      <w:pPr>
        <w:pStyle w:val="Heading2"/>
      </w:pPr>
      <w:r>
        <w:t xml:space="preserve">10. Limitations, Future Work, and Cross-Domain Notes</w:t>
      </w:r>
    </w:p>
    <w:bookmarkStart w:id="84" w:name="measurement-limitations"/>
    <w:p>
      <w:pPr>
        <w:pStyle w:val="Heading3"/>
      </w:pPr>
      <w:r>
        <w:t xml:space="preserve">10.1 Measurement limitations</w:t>
      </w:r>
    </w:p>
    <w:p>
      <w:pPr>
        <w:pStyle w:val="FirstParagraph"/>
      </w:pPr>
      <w:r>
        <w:t>All latency was measured on an Apple M1 development CPU, not target hardware; absolute margins must not be trusted at 1:1, and the correct next step is</w:t>
      </w:r>
      <w:r>
        <w:t xml:space="preserve"> </w:t>
      </w:r>
      <w:r>
        <w:rPr>
          <w:bCs/>
          <w:b/>
        </w:rPr>
        <w:t xml:space="preserve">hardware-in-the-loop measurement</w:t>
      </w:r>
      <w:r>
        <w:t xml:space="preserve"> </w:t>
      </w:r>
      <w:r>
        <w:t>on Cortex-A silicon (and any RISC-V candidate — Section 10.5). Clean-session baseline latency spans 37.3–39.2 ms (+-3.0% about the mean; Section 3.4). The ft3 sweep’s latency column was found load-contaminated from the 20% ratio onward and is superseded throughout this report by architecture-identical clean measurements (Section 3.4); the W04 verification-session latencies were taken under background load and are flagged wherever they appear. The scheduled re-measurement ran on 2026-07-30 (scripts/remeasure_latency.py): 12% = 43.79 ms, 15% = 42.20 ms, in-session baseline 49.61 ms — the control flags that session as loaded too, and the two loaded baselines agree (50.61 / 49.61 ms vs the 37.3–39.2 ms clean cluster), pointing to a persistent background condition. Both checkpoint measurements stand as session-annotated records; a verified-clean session was not obtained before sign-off, and no deployment conclusion depends on these absolute values. Accuracy and size reproduce exactly with seed 42.</w:t>
      </w:r>
    </w:p>
    <w:bookmarkEnd w:id="84"/>
    <w:bookmarkStart w:id="85" w:name="budget-limitations"/>
    <w:p>
      <w:pPr>
        <w:pStyle w:val="Heading3"/>
      </w:pPr>
      <w:r>
        <w:t xml:space="preserve">10.2 Budget limitations</w:t>
      </w:r>
    </w:p>
    <w:p>
      <w:pPr>
        <w:pStyle w:val="FirstParagraph"/>
      </w:pPr>
      <w:r>
        <w:t xml:space="preserve">Recovery fine-tuning used a fixed 3 ep x 20k budget with training loss still falling at every ratio, so absolute accuracies likely understate longer-budget recovery (no held-out curve was tracked — expected, not verified); the changepoint location, rankings, and no-loss-free-region finding are statements under this budget, expected but not proven budget-robust. The distillation sweep used an exploration budget (5k images x 8 epochs); the +3.02 pp best-cell gain is tightly controlled (same data, budget, initialization) but is the maximum of nine single runs against one control run — the nine-cell mean sits 1.43 pp below control and no run-to-run variance was measured. Production deployment requires re-training at full-dataset, full-schedule budget. The Rover 12% recommendation rests on a Week-4 single-point measurement (Section 5.5) and shares the same budget caveat.</w:t>
      </w:r>
    </w:p>
    <w:bookmarkEnd w:id="85"/>
    <w:bookmarkStart w:id="86" w:name="scope-limitations"/>
    <w:p>
      <w:pPr>
        <w:pStyle w:val="Heading3"/>
      </w:pPr>
      <w:r>
        <w:t xml:space="preserve">10.3 Scope limitations</w:t>
      </w:r>
    </w:p>
    <w:p>
      <w:pPr>
        <w:pStyle w:val="FirstParagraph"/>
      </w:pPr>
      <w:r>
        <w:t xml:space="preserve">Every number comes from one vision CNN (MobileNetV3-Small) on one dataset (CIFAR-10). Transfer to other families — Senpai’s embeddings, Fari’s dialogue models — is unvalidated; embedding/transformer models are widely reported as more quantization-tolerant, so the INT8 negative must not be generalized beyond this backbone. A mid-size transformer under the same eight-element protocol is the natural extension.</w:t>
      </w:r>
    </w:p>
    <w:bookmarkEnd w:id="86"/>
    <w:bookmarkStart w:id="87" w:name="toolchain-and-kernels"/>
    <w:p>
      <w:pPr>
        <w:pStyle w:val="Heading3"/>
      </w:pPr>
      <w:r>
        <w:t xml:space="preserve">10.4 Toolchain and kernels</w:t>
      </w:r>
    </w:p>
    <w:p>
      <w:pPr>
        <w:pStyle w:val="FirstParagraph"/>
      </w:pPr>
      <w:r>
        <w:t xml:space="preserve">The quantization implementation uses</w:t>
      </w:r>
      <w:r>
        <w:t xml:space="preserve"> </w:t>
      </w:r>
      <w:r>
        <w:rPr>
          <w:rStyle w:val="VerbatimChar"/>
        </w:rPr>
        <w:t xml:space="preserve">torch.ao</w:t>
      </w:r>
      <w:r>
        <w:t xml:space="preserve"> </w:t>
      </w:r>
      <w:r>
        <w:t xml:space="preserve">FX-mode, which PyTorch has marked deprecated in favor of torchao PT2E — production work should migrate. Absolute INT8 latencies are qnnpack numbers on Apple silicon;</w:t>
      </w:r>
      <w:r>
        <w:t xml:space="preserve"> </w:t>
      </w:r>
      <w:r>
        <w:rPr>
          <w:bCs/>
          <w:b/>
        </w:rPr>
        <w:t xml:space="preserve">hardware-specific kernels</w:t>
      </w:r>
      <w:r>
        <w:t xml:space="preserve"> </w:t>
      </w:r>
      <w:r>
        <w:t xml:space="preserve">(target-tuned INT8 GEMM/conv kernels) are required before any INT8 latency claim is transferred to deployment hardware. Ratios (size, relative speedup) transfer across hardware far better than absolutes.</w:t>
      </w:r>
    </w:p>
    <w:bookmarkEnd w:id="87"/>
    <w:bookmarkStart w:id="88" w:name="X1cf6a9d454d65cdb2b7561a6f0d3d21c7cd0144"/>
    <w:p>
      <w:pPr>
        <w:pStyle w:val="Heading3"/>
      </w:pPr>
      <w:r>
        <w:t xml:space="preserve">10.5 A RISC-V-specific observation: why the recommendations are hardware-contingent</w:t>
      </w:r>
    </w:p>
    <w:p>
      <w:pPr>
        <w:pStyle w:val="FirstParagraph"/>
      </w:pPr>
      <w:r>
        <w:t xml:space="preserve">If Aido Rover’s compute moves from an ARM Cortex-A core (NEON SIMD) to a RISC-V embedded core,</w:t>
      </w:r>
      <w:r>
        <w:t xml:space="preserve"> </w:t>
      </w:r>
      <w:r>
        <w:rPr>
          <w:bCs/>
          <w:b/>
        </w:rPr>
        <w:t xml:space="preserve">the recommendation that changes most is any quantization-based one.</w:t>
      </w:r>
      <w:r>
        <w:t xml:space="preserve"> </w:t>
      </w:r>
      <w:r>
        <w:t xml:space="preserve">The measured 11.3x INT8 speedup exceeds what either Section-2.3 mechanism predicts alone — ~4x from SIMD lane width (16 INT8 vs 4 FP32 lanes per 128-bit register), ~4x from bytes moved — so roughly 2.8x of it is unattributed: plausibly qnnpack’s fused INT8 kernels against a less-optimized FP32 path, not isolated by profiling here. The ISA-contingent share is the vector-throughput part. On RISC-V that mechanism exists only with the V (vector) extension; on a base RV64GC core INT8 still buys the 4x size and traffic reduction but the throughput multiplier largely disappears — Sentinel’s secondary recommendation would demote below pruning and distillation on a vector-less target, since INT8 then buys size but little speed. Pruning’s size reduction is ISA-invariant and its latency gain survives any ISA, though absolutes must be re-measured. This is why batch-size-1 inference being</w:t>
      </w:r>
      <w:r>
        <w:t xml:space="preserve"> </w:t>
      </w:r>
      <w:r>
        <w:rPr>
          <w:bCs/>
          <w:b/>
        </w:rPr>
        <w:t xml:space="preserve">memory-bound</w:t>
      </w:r>
      <w:r>
        <w:t xml:space="preserve"> </w:t>
      </w:r>
      <w:r>
        <w:t xml:space="preserve">— the load/store cost model from RISC-V assembly coursework — is the most transferable insight here: on any ISA, moving fewer bytes is the reliable win; multiplying faster is the conditional one.</w:t>
      </w:r>
    </w:p>
    <w:bookmarkEnd w:id="88"/>
    <w:bookmarkStart w:id="89" w:name="X244c51a566799cf805af7a2eaad2125f9ecbd40"/>
    <w:p>
      <w:pPr>
        <w:pStyle w:val="Heading3"/>
      </w:pPr>
      <w:r>
        <w:t xml:space="preserve">10.6 PELT across domains: the reservoir changepoints and the compression changepoint</w:t>
      </w:r>
    </w:p>
    <w:p>
      <w:pPr>
        <w:pStyle w:val="FirstParagraph"/>
      </w:pPr>
      <w:r>
        <w:t xml:space="preserve">The changepoint methodology of Section 5.4 transfers directly from the</w:t>
      </w:r>
      <w:r>
        <w:t xml:space="preserve"> </w:t>
      </w:r>
      <w:r>
        <w:rPr>
          <w:iCs/>
          <w:i/>
        </w:rPr>
        <w:t xml:space="preserve">Journal of Lake Sciences</w:t>
      </w:r>
      <w:r>
        <w:t xml:space="preserve"> </w:t>
      </w:r>
      <w:r>
        <w:t xml:space="preserve">study [7]. There, PELT segmented 2018–2021 monthly reservoir surface area (Wuhan-to-Hukou left-bank basin, Sentinel-1 SAR) into four regimes — slow decline, sharp decline from Sep 2018, a low plateau, then recovery — with the changepoints independently corroborated by changepoints in the SPEI12 drought index (Oct 2019; Jul 2020, +162.74%). Here, PELT segmented the accuracy-vs-ratio curve into two regimes at 0.4, supported by a penalty sweep and exact DP segmentation on the same signal.</w:t>
      </w:r>
    </w:p>
    <w:p>
      <w:pPr>
        <w:pStyle w:val="BodyText"/>
      </w:pPr>
      <w:r>
        <w:t xml:space="preserve">Three correspondences carry across the domains.</w:t>
      </w:r>
      <w:r>
        <w:t xml:space="preserve"> </w:t>
      </w:r>
      <w:r>
        <w:rPr>
          <w:bCs/>
          <w:b/>
        </w:rPr>
        <w:t xml:space="preserve">(1) A changepoint marks a completed state transition, not the onset of damage:</w:t>
      </w:r>
      <w:r>
        <w:t xml:space="preserve"> </w:t>
      </w:r>
      <w:r>
        <w:t xml:space="preserve">reservoir area was already declining before Sep 2018, exactly as pruning already costs 3.9 pp at 10%; treating either changepoint as a</w:t>
      </w:r>
      <w:r>
        <w:t xml:space="preserve"> </w:t>
      </w:r>
      <w:r>
        <w:t xml:space="preserve">“</w:t>
      </w:r>
      <w:r>
        <w:t xml:space="preserve">safe limit</w:t>
      </w:r>
      <w:r>
        <w:t xml:space="preserve">”</w:t>
      </w:r>
      <w:r>
        <w:t xml:space="preserve"> </w:t>
      </w:r>
      <w:r>
        <w:t xml:space="preserve">misreads it.</w:t>
      </w:r>
      <w:r>
        <w:t xml:space="preserve"> </w:t>
      </w:r>
      <w:r>
        <w:rPr>
          <w:bCs/>
          <w:b/>
        </w:rPr>
        <w:t xml:space="preserve">(2) Changepoints deserve corroboration — and here the two projects differ honestly:</w:t>
      </w:r>
      <w:r>
        <w:t xml:space="preserve"> </w:t>
      </w:r>
      <w:r>
        <w:t xml:space="preserve">the reservoir study had genuinely external corroboration (SPEI12 — a different instrument, a different variable); this project has only internal robustness (penalty stability + Dynp on the same signal). Meeting that standard would need an independent signal changing regime at the same ratio — e.g. a per-layer feature-similarity metric.</w:t>
      </w:r>
      <w:r>
        <w:t xml:space="preserve"> </w:t>
      </w:r>
      <w:r>
        <w:rPr>
          <w:bCs/>
          <w:b/>
        </w:rPr>
        <w:t xml:space="preserve">(3) The criterion must be principled, not visual:</w:t>
      </w:r>
      <w:r>
        <w:t xml:space="preserve"> </w:t>
      </w:r>
      <w:r>
        <w:t xml:space="preserve">the study’s penalty beta guards against over-segmentation; this project’s criterion (penalty stability in [0.5, 2] + Dynp agreement) plays the same role. One honest difference: the study used an L2 segment cost, this project RBF — chosen because the curve’s variance differs strongly between the steep-collapse and post-changepoint regimes. In both cases PELT marks qualitative structural change — a hydrological state shift there, the removal of entire feature-detector groups here.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inGen Dynamics — Products &amp; PIC 2.0 (Origami) platform documentation, internship onboarding materials.</w:t>
      </w:r>
      <w:r>
        <w:t xml:space="preserve"> </w:t>
      </w:r>
      <w:r>
        <w:t xml:space="preserve">[2] Y. Cheng et al.,</w:t>
      </w:r>
      <w:r>
        <w:t xml:space="preserve"> </w:t>
      </w:r>
      <w:r>
        <w:t xml:space="preserve">“</w:t>
      </w:r>
      <w:r>
        <w:t xml:space="preserve">A Survey of Model Compression and Acceleration for Deep Neural Networks,</w:t>
      </w:r>
      <w:r>
        <w:t xml:space="preserve">”</w:t>
      </w:r>
      <w:r>
        <w:t xml:space="preserve"> </w:t>
      </w:r>
      <w:r>
        <w:t xml:space="preserve">arXiv:1710.09282.</w:t>
      </w:r>
      <w:r>
        <w:t xml:space="preserve"> </w:t>
      </w:r>
      <w:r>
        <w:t xml:space="preserve">[3] M. Nagel et al.,</w:t>
      </w:r>
      <w:r>
        <w:t xml:space="preserve"> </w:t>
      </w:r>
      <w:r>
        <w:t xml:space="preserve">“</w:t>
      </w:r>
      <w:r>
        <w:t xml:space="preserve">A White Paper on Neural Network Quantization,</w:t>
      </w:r>
      <w:r>
        <w:t xml:space="preserve">”</w:t>
      </w:r>
      <w:r>
        <w:t xml:space="preserve"> </w:t>
      </w:r>
      <w:r>
        <w:t xml:space="preserve">arXiv:2106.08295.</w:t>
      </w:r>
      <w:r>
        <w:t xml:space="preserve"> </w:t>
      </w:r>
      <w:r>
        <w:t xml:space="preserve">[4] H. Li et al.,</w:t>
      </w:r>
      <w:r>
        <w:t xml:space="preserve"> </w:t>
      </w:r>
      <w:r>
        <w:t xml:space="preserve">“</w:t>
      </w:r>
      <w:r>
        <w:t xml:space="preserve">Pruning Filters for Efficient ConvNets,</w:t>
      </w:r>
      <w:r>
        <w:t xml:space="preserve">”</w:t>
      </w:r>
      <w:r>
        <w:t xml:space="preserve"> </w:t>
      </w:r>
      <w:r>
        <w:t xml:space="preserve">arXiv:1608.08710.</w:t>
      </w:r>
      <w:r>
        <w:t xml:space="preserve"> </w:t>
      </w:r>
      <w:r>
        <w:t xml:space="preserve">[5] G. Hinton, O. Vinyals, J. Dean,</w:t>
      </w:r>
      <w:r>
        <w:t xml:space="preserve"> </w:t>
      </w:r>
      <w:r>
        <w:t xml:space="preserve">“</w:t>
      </w:r>
      <w:r>
        <w:t xml:space="preserve">Distilling the Knowledge in a Neural Network,</w:t>
      </w:r>
      <w:r>
        <w:t xml:space="preserve">”</w:t>
      </w:r>
      <w:r>
        <w:t xml:space="preserve"> </w:t>
      </w:r>
      <w:r>
        <w:t xml:space="preserve">arXiv:1503.02531.</w:t>
      </w:r>
      <w:r>
        <w:t xml:space="preserve"> </w:t>
      </w:r>
      <w:r>
        <w:t xml:space="preserve">[6] A. Howard et al.,</w:t>
      </w:r>
      <w:r>
        <w:t xml:space="preserve"> </w:t>
      </w:r>
      <w:r>
        <w:t xml:space="preserve">“</w:t>
      </w:r>
      <w:r>
        <w:t xml:space="preserve">Searching for MobileNetV3,</w:t>
      </w:r>
      <w:r>
        <w:t xml:space="preserve">”</w:t>
      </w:r>
      <w:r>
        <w:t xml:space="preserve"> </w:t>
      </w:r>
      <w:r>
        <w:t xml:space="preserve">arXiv:1905.02244.</w:t>
      </w:r>
      <w:r>
        <w:t xml:space="preserve"> </w:t>
      </w:r>
      <w:r>
        <w:t xml:space="preserve">[7] Y. Liao, X. Ding, S. Xiang, et al.,</w:t>
      </w:r>
      <w:r>
        <w:t xml:space="preserve"> </w:t>
      </w:r>
      <w:r>
        <w:t xml:space="preserve">“</w:t>
      </w:r>
      <w:r>
        <w:t xml:space="preserve">Sentinel-1 observation on inundation dynamics of drinking water source reservoirs in the middle reaches of the Yangtze River,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Lake Sciences</w:t>
      </w:r>
      <w:r>
        <w:t xml:space="preserve">, 2025.</w:t>
      </w:r>
      <w:r>
        <w:t xml:space="preserve"> </w:t>
      </w:r>
      <w:r>
        <w:t xml:space="preserve">[8] R. Killick, P. Fearnhead, I. A. Eckley,</w:t>
      </w:r>
      <w:r>
        <w:t xml:space="preserve"> </w:t>
      </w:r>
      <w:r>
        <w:t xml:space="preserve">“</w:t>
      </w:r>
      <w:r>
        <w:t xml:space="preserve">Optimal Detection of Changepoints With a Linear Computational Cost,</w:t>
      </w:r>
      <w:r>
        <w:t xml:space="preserve">”</w:t>
      </w:r>
      <w:r>
        <w:t xml:space="preserve"> </w:t>
      </w:r>
      <w:r>
        <w:rPr>
          <w:iCs/>
          <w:i/>
        </w:rPr>
        <w:t xml:space="preserve">JASA</w:t>
      </w:r>
      <w:r>
        <w:t xml:space="preserve">, 2012 (PELT).</w:t>
      </w:r>
    </w:p>
    <w:p>
      <w:r>
        <w:pict>
          <v:rect style="width:0;height:1.5pt" o:hralign="center" o:hrstd="t" o:hr="t"/>
        </w:pict>
      </w:r>
    </w:p>
    <w:bookmarkEnd w:id="91"/>
    <w:bookmarkEnd w:id="92"/>
    <w:sectPr>
      <w:footerReference w:type="default" r:id="rId9"/>
      <w:pgMar w:bottom="1080" w:left="1152" w:right="1152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40" w:lineRule="auto"/>
    </w:pPr>
    <w:rPr>
      <w:rFonts w:ascii="Calibri" w:hAnsi="Calibri"/>
      <w:sz w:val="20"/>
    </w:rPr>
  </w:style>
  <w:style w:styleId="BodyText" w:type="paragraph">
    <w:name w:val="Body Text"/>
    <w:basedOn w:val="Normal"/>
    <w:link w:val="BodyTextChar"/>
    <w:pPr>
      <w:spacing w:after="60" w:before="180" w:line="240" w:lineRule="auto"/>
    </w:pPr>
    <w:qFormat/>
    <w:rPr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60" w:line="240" w:lineRule="auto"/>
    </w:pPr>
    <w:rPr>
      <w:rFonts w:ascii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480"/>
      <w:jc w:val="center"/>
    </w:pPr>
    <w:rPr>
      <w:rFonts w:asciiTheme="majorHAnsi" w:cstheme="majorBidi" w:eastAsiaTheme="majorEastAsia" w:hAnsiTheme="majorHAnsi"/>
      <w:b/>
      <w:bCs/>
      <w:color w:val="1F2933"/>
      <w:sz w:val="4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0"/>
      <w:outlineLvl w:val="0"/>
    </w:pPr>
    <w:rPr>
      <w:rFonts w:ascii="Calibri" w:asciiTheme="majorHAnsi" w:cstheme="majorBidi" w:eastAsiaTheme="majorEastAsia" w:hAnsi="Calibri" w:hAnsiTheme="majorHAnsi"/>
      <w:b/>
      <w:bCs/>
      <w:color w:val="1F2933"/>
      <w:sz w:val="3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="Calibri" w:asciiTheme="majorHAnsi" w:cstheme="majorBidi" w:eastAsiaTheme="majorEastAsia" w:hAnsi="Calibri" w:hAnsiTheme="majorHAnsi"/>
      <w:b/>
      <w:bCs/>
      <w:color w:val="2A3B4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50" w:before="120"/>
      <w:outlineLvl w:val="2"/>
    </w:pPr>
    <w:rPr>
      <w:rFonts w:ascii="Calibri" w:asciiTheme="majorHAnsi" w:cstheme="majorBidi" w:eastAsiaTheme="majorEastAsia" w:hAnsi="Calibri" w:hAnsiTheme="majorHAnsi"/>
      <w:b/>
      <w:bCs/>
      <w:color w:val="2A3B4D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i w:val="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sz w:val="18"/>
    </w:rPr>
  </w:style>
  <w:style w:customStyle="1" w:styleId="TableCaption" w:type="paragraph">
    <w:name w:val="Table Caption"/>
    <w:basedOn w:val="Caption"/>
    <w:pPr>
      <w:keepNext/>
    </w:pPr>
    <w:rPr>
      <w:i/>
      <w:color w:val="555F6A"/>
      <w:sz w:val="18"/>
    </w:rPr>
  </w:style>
  <w:style w:customStyle="1" w:styleId="ImageCaption" w:type="paragraph">
    <w:name w:val="Image Caption"/>
    <w:basedOn w:val="Caption"/>
    <w:pPr>
      <w:spacing w:after="80" w:before="20" w:line="240" w:lineRule="auto"/>
      <w:jc w:val="center"/>
    </w:pPr>
    <w:rPr>
      <w:i/>
      <w:color w:val="555F6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sz w:val="18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9" Type="http://schemas.openxmlformats.org/officeDocument/2006/relationships/image" Target="media/rId39.png"/><Relationship Id="rId35" Type="http://schemas.openxmlformats.org/officeDocument/2006/relationships/image" Target="media/rId35.png"/><Relationship Id="rId49" Type="http://schemas.openxmlformats.org/officeDocument/2006/relationships/image" Target="media/rId49.png"/><Relationship Id="rId72" Type="http://schemas.openxmlformats.org/officeDocument/2006/relationships/image" Target="media/rId72.png"/><Relationship Id="rId64" Type="http://schemas.openxmlformats.org/officeDocument/2006/relationships/image" Target="media/rId64.png"/><Relationship Id="rId56" Type="http://schemas.openxmlformats.org/officeDocument/2006/relationships/image" Target="media/rId5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2026-07-29T16:30:45Z</dcterms:created>
  <dcterms:modified xsi:type="dcterms:W3CDTF">2026-07-29T16:30:45Z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