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示例医院 · 内部文件</w:t>
      </w:r>
    </w:p>
    <w:p>
      <w:pPr>
        <w:pStyle w:val="Heading1"/>
      </w:pPr>
      <w:r>
        <w:t>用药说明</w:t>
      </w:r>
    </w:p>
    <w:p>
      <w:r>
        <w:t>本品需饭后服用。</w:t>
      </w:r>
    </w:p>
    <w:p>
      <w:r>
        <w:drawing>
          <wp:inline xmlns:a="http://schemas.openxmlformats.org/drawingml/2006/main" xmlns:pic="http://schemas.openxmlformats.org/drawingml/2006/picture">
            <wp:extent cx="5029200" cy="5029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1 外包装</w:t>
      </w:r>
    </w:p>
    <w:p>
      <w:r>
        <w:t>表 1 用法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剂量</w:t>
            </w:r>
          </w:p>
        </w:tc>
        <w:tc>
          <w:tcPr>
            <w:tcW w:type="dxa" w:w="4320"/>
          </w:tcPr>
          <w:p>
            <w:r>
              <w:t>一日两次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