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4b5114c1ab87e8176ed548028c2f4923e699dc"/>
    <w:p>
      <w:pPr>
        <w:pStyle w:val="Heading1"/>
      </w:pPr>
      <w:r>
        <w:t xml:space="preserve">Study framing — HCAHPS overall star ratings, 2017 vs 2024</w:t>
      </w:r>
    </w:p>
    <w:p>
      <w:pPr>
        <w:pStyle w:val="FirstParagraph"/>
      </w:pPr>
      <w:r>
        <w:rPr>
          <w:b/>
          <w:bCs/>
        </w:rPr>
        <w:t xml:space="preserve">Working document — alignment before outlining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2026-05-01</w:t>
      </w:r>
      <w:r>
        <w:t xml:space="preserve"> </w:t>
      </w:r>
      <w:r>
        <w:rPr>
          <w:b/>
          <w:bCs/>
        </w:rPr>
        <w:t xml:space="preserve">Target journal:</w:t>
      </w:r>
      <w:r>
        <w:t xml:space="preserve"> </w:t>
      </w:r>
      <w:r>
        <w:t xml:space="preserve">Health Affairs (primary); JAMA Health Forum and Health Affairs Scholar as alternates</w:t>
      </w:r>
    </w:p>
    <w:p>
      <w:r>
        <w:pict>
          <v:rect style="width:0;height:1.5pt" o:hralign="center" o:hrstd="t" o:hr="t"/>
        </w:pict>
      </w:r>
    </w:p>
    <w:bookmarkStart w:id="13" w:name="X595791e2fb839415004f143b9bde430670790c7"/>
    <w:p>
      <w:pPr>
        <w:pStyle w:val="Heading2"/>
      </w:pPr>
      <w:r>
        <w:t xml:space="preserve">1. Key findings</w:t>
      </w:r>
    </w:p>
    <w:bookmarkStart w:id="9" w:name="headline-numbers"/>
    <w:p>
      <w:pPr>
        <w:pStyle w:val="Heading3"/>
      </w:pPr>
      <w:r>
        <w:t xml:space="preserve">Headline numbers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National decline in overall star rating</w:t>
      </w:r>
      <w:r>
        <w:t xml:space="preserve">: mean 3.45 (2017) → 3.27 (2024), a drop of ≈0.18 stars.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 throughput improved sharply</w:t>
      </w:r>
      <w:r>
        <w:t xml:space="preserve">: median time in ED 292 → 181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</w:t>
      </w:r>
      <w:r>
        <w:t xml:space="preserve">: N = 2,380 hospitals (66.5% for-profit, 18.7% non-profit, 14.8% government; 69.5% urban, 20.8% large rural, 9.7% small rural).</w:t>
      </w:r>
    </w:p>
    <w:bookmarkEnd w:id="9"/>
    <w:bookmarkStart w:id="10" w:name="two-regression-stories"/>
    <w:p>
      <w:pPr>
        <w:pStyle w:val="Heading3"/>
      </w:pPr>
      <w:r>
        <w:t xml:space="preserve">Two regression stories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What it tells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 levels</w:t>
            </w:r>
          </w:p>
        </w:tc>
        <w:tc>
          <w:tcPr/>
          <w:p>
            <w:pPr>
              <w:pStyle w:val="Compact"/>
            </w:pPr>
            <w:r>
              <w:t xml:space="preserve">≈0.24</w:t>
            </w:r>
          </w:p>
        </w:tc>
        <w:tc>
          <w:tcPr/>
          <w:p>
            <w:pPr>
              <w:pStyle w:val="Compact"/>
            </w:pPr>
            <w:r>
              <w:t xml:space="preserve">Hospital + community factors explain a meaningful share of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levels</w:t>
            </w:r>
          </w:p>
        </w:tc>
        <w:tc>
          <w:tcPr/>
          <w:p>
            <w:pPr>
              <w:pStyle w:val="Compact"/>
            </w:pPr>
            <w:r>
              <w:t xml:space="preserve">≈0.24</w:t>
            </w:r>
          </w:p>
        </w:tc>
        <w:tc>
          <w:tcPr/>
          <w:p>
            <w:pPr>
              <w:pStyle w:val="Compact"/>
            </w:pPr>
            <w:r>
              <w:t xml:space="preserve">Same story, same magnitude — pattern is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2017→2024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0.04–0.06</w:t>
            </w:r>
          </w:p>
        </w:tc>
        <w:tc>
          <w:tcPr/>
          <w:p>
            <w:pPr>
              <w:pStyle w:val="Compact"/>
            </w:pPr>
            <w:r>
              <w:t xml:space="preserve">Same covariates explain almost nothing about</w:t>
            </w:r>
            <w:r>
              <w:t xml:space="preserve"> </w:t>
            </w:r>
            <w:r>
              <w:rPr>
                <w:i/>
                <w:iCs/>
              </w:rPr>
              <w:t xml:space="preserve">trajectories</w:t>
            </w:r>
          </w:p>
        </w:tc>
      </w:tr>
    </w:tbl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levels-vs-change asymmetry</w:t>
      </w:r>
      <w:r>
        <w:t xml:space="preserve"> </w:t>
      </w:r>
      <w:r>
        <w:t xml:space="preserve">is the single most important quantitative finding.</w:t>
      </w:r>
    </w:p>
    <w:bookmarkEnd w:id="10"/>
    <w:bookmarkStart w:id="11" w:name="X6d9917ba51496d8cb911c656c817bf7c19323b4"/>
    <w:p>
      <w:pPr>
        <w:pStyle w:val="Heading3"/>
      </w:pPr>
      <w:r>
        <w:t xml:space="preserve">Levels — what predicts higher ratings (consistent across 2017 and 2024)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Ownership</w:t>
      </w:r>
      <w:r>
        <w:t xml:space="preserve"> </w:t>
      </w:r>
      <w:r>
        <w:t xml:space="preserve">(vs government): non-profit −0.58 stars (2024), for-profit −0.11 (2024). Government is the highest-scoring category.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Rural advantage</w:t>
      </w:r>
      <w:r>
        <w:t xml:space="preserve">: small rural +0.61 vs urban (2024); large rural roughly null in levels.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Operations</w:t>
      </w:r>
      <w:r>
        <w:t xml:space="preserve">: longer ED time → lower; more hospitals per 1,000 population → higher.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</w:t>
      </w:r>
      <w:r>
        <w:t xml:space="preserve">: higher % 65+, % foreign-born, % poor → lower; higher % bachelor's+ → higher.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Counterintuitive flag</w:t>
      </w:r>
      <w:r>
        <w:t xml:space="preserve">: % subjective poor health →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ratings; high % poor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 % poor 65+ → both lower (collinear; needs care in interpretation).</w:t>
      </w:r>
    </w:p>
    <w:bookmarkEnd w:id="11"/>
    <w:bookmarkStart w:id="12" w:name="Xdedd48548dc42bc8f69de0829f81449d6c6e985"/>
    <w:p>
      <w:pPr>
        <w:pStyle w:val="Heading3"/>
      </w:pPr>
      <w:r>
        <w:t xml:space="preserve">Change — what predicts gaining or losing stars 2017→2024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Rural hospitals improved relative to urban</w:t>
      </w:r>
      <w:r>
        <w:t xml:space="preserve">: large rural +0.20, small rural +0.28.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Non-profit and for-profit declined more than government</w:t>
      </w:r>
      <w:r>
        <w:t xml:space="preserve">: −0.11 and −0.13 respectively.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 time reduction</w:t>
      </w:r>
      <w:r>
        <w:t xml:space="preserve"> </w:t>
      </w:r>
      <w:r>
        <w:t xml:space="preserve">associated with small rating gains.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Almost no community-change variable</w:t>
      </w:r>
      <w:r>
        <w:t xml:space="preserve"> </w:t>
      </w:r>
      <w:r>
        <w:t xml:space="preserve">reaches significance — the population-shift story does not explain the rating-shift story.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2cae4f6c615eab2c4658e8af33b89604cc9064a"/>
    <w:p>
      <w:pPr>
        <w:pStyle w:val="Heading2"/>
      </w:pPr>
      <w:r>
        <w:t xml:space="preserve">2. Literature gap (refined after review)</w:t>
      </w:r>
    </w:p>
    <w:p>
      <w:pPr>
        <w:pStyle w:val="FirstParagraph"/>
      </w:pPr>
      <w:r>
        <w:t xml:space="preserve">The HCAHPS literature has three established threads: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Cross-sectional determinants</w:t>
      </w:r>
      <w:r>
        <w:t xml:space="preserve"> </w:t>
      </w:r>
      <w:r>
        <w:t xml:space="preserve">— Beckett et al. (2024) review; Herrin et al. (2018) on community factors; Fitzpatrick Rosenbaum et al. (2024) on nursing.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National COVID-era trend</w:t>
      </w:r>
      <w:r>
        <w:t xml:space="preserve"> </w:t>
      </w:r>
      <w:r>
        <w:t xml:space="preserve">— Elliott et al. (2023, JAMA Health Forum) documents the pandemic decline through Q4 2021; Beckett et al. (2025, Med Care Res Rev) extends it through 2023 and shows persistence.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Risk-adjustment / Star Ratings methodology</w:t>
      </w:r>
      <w:r>
        <w:t xml:space="preserve"> </w:t>
      </w:r>
      <w:r>
        <w:t xml:space="preserve">— Elliott et al. (2025) on CMS patient-mix adjustment; Gettel et al. (2024) on Star Ratings peer grouping; National Academies (2016) on social risk factors.</w:t>
      </w:r>
    </w:p>
    <w:p>
      <w:pPr>
        <w:pStyle w:val="FirstParagraph"/>
      </w:pPr>
      <w:r>
        <w:rPr>
          <w:b/>
          <w:bCs/>
        </w:rPr>
        <w:t xml:space="preserve">What none of these do</w:t>
      </w:r>
      <w:r>
        <w:t xml:space="preserve"> </w:t>
      </w:r>
      <w:r>
        <w:t xml:space="preserve">— and what this study adds: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hospital-level analysis that uses a 2017 (mature pre-COVID baseline) vs 2024 (post-pandemic stabilization) horizon, jointly modeling hospital, operational, and community-level covariates for both rating levels and rating change, and showing that observable factors explain ~24% of cross-sectional variation but &lt;6% of trajectory variation.</w:t>
      </w:r>
    </w:p>
    <w:p>
      <w:pPr>
        <w:pStyle w:val="FirstParagraph"/>
      </w:pPr>
      <w:r>
        <w:t xml:space="preserve">The decomposition matters because it changes how we should interpret rating changes for policy use.</w:t>
      </w:r>
    </w:p>
    <w:p>
      <w:r>
        <w:pict>
          <v:rect style="width:0;height:1.5pt" o:hralign="center" o:hrstd="t" o:hr="t"/>
        </w:pict>
      </w:r>
    </w:p>
    <w:bookmarkEnd w:id="14"/>
    <w:bookmarkStart w:id="18" w:name="Xf4b031fa66514e728cc22e97d816802dfe9c664"/>
    <w:p>
      <w:pPr>
        <w:pStyle w:val="Heading2"/>
      </w:pPr>
      <w:r>
        <w:t xml:space="preserve">3. Policy implications</w:t>
      </w:r>
    </w:p>
    <w:p>
      <w:pPr>
        <w:pStyle w:val="FirstParagraph"/>
      </w:pPr>
      <w:r>
        <w:t xml:space="preserve">Three, in order of confidence:</w:t>
      </w:r>
    </w:p>
    <w:bookmarkStart w:id="15" w:name="X0f9d54e254ecf7af187cb5998e8a7ee3fe74589"/>
    <w:p>
      <w:pPr>
        <w:pStyle w:val="Heading3"/>
      </w:pPr>
      <w:r>
        <w:t xml:space="preserve">A. Risk adjustment for community context deserves reconsideration</w:t>
      </w:r>
    </w:p>
    <w:p>
      <w:pPr>
        <w:pStyle w:val="Compact"/>
        <w:numPr>
          <w:ilvl w:val="0"/>
          <w:numId w:val="1005"/>
        </w:numPr>
      </w:pPr>
      <w:r>
        <w:t xml:space="preserve">~24% of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variation tracks community demographics that hospitals can't change (% foreign-born, % poor, age structure).</w:t>
      </w:r>
    </w:p>
    <w:p>
      <w:pPr>
        <w:pStyle w:val="Compact"/>
        <w:numPr>
          <w:ilvl w:val="0"/>
          <w:numId w:val="1005"/>
        </w:numPr>
      </w:pPr>
      <w:r>
        <w:t xml:space="preserve">CMS patient-mix adjustment (Elliott et al. 2025) operates only at the individual patient level; community context is not adjusted.</w:t>
      </w:r>
    </w:p>
    <w:p>
      <w:pPr>
        <w:pStyle w:val="Compact"/>
        <w:numPr>
          <w:ilvl w:val="0"/>
          <w:numId w:val="1005"/>
        </w:numPr>
      </w:pPr>
      <w:r>
        <w:t xml:space="preserve">The National Academies (2016) framework already laid out the rationale for social risk adjustment; our results provide updated empirical support specifically for HCAHPS.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Implication</w:t>
      </w:r>
      <w:r>
        <w:t xml:space="preserve">: hospitals serving structurally disadvantaged communities are systematically penalized in payment-linked ratings, even after current CMS adjustments. Either community-level adjusters should be added, or context-adjusted scores should be reported alongside raw stars.</w:t>
      </w:r>
    </w:p>
    <w:bookmarkEnd w:id="15"/>
    <w:bookmarkStart w:id="16" w:name="X27b0bfce44de7ffcaad6b0211494134b049d06a"/>
    <w:p>
      <w:pPr>
        <w:pStyle w:val="Heading3"/>
      </w:pPr>
      <w:r>
        <w:t xml:space="preserve">B. The rural advantage is real, growing, and policy-relevant</w:t>
      </w:r>
    </w:p>
    <w:p>
      <w:pPr>
        <w:pStyle w:val="Compact"/>
        <w:numPr>
          <w:ilvl w:val="0"/>
          <w:numId w:val="1006"/>
        </w:numPr>
      </w:pPr>
      <w:r>
        <w:t xml:space="preserve">Rural hospitals score higher (Vu 2024; Beckett et al. 2025</w:t>
      </w:r>
      <w:r>
        <w:t xml:space="preserve"> </w:t>
      </w:r>
      <w:r>
        <w:rPr>
          <w:i/>
          <w:iCs/>
        </w:rPr>
        <w:t xml:space="preserve">Health Affairs Scholar</w:t>
      </w:r>
      <w:r>
        <w:t xml:space="preserve">) and</w:t>
      </w:r>
      <w:r>
        <w:t xml:space="preserve"> </w:t>
      </w:r>
      <w:r>
        <w:rPr>
          <w:b/>
          <w:bCs/>
        </w:rPr>
        <w:t xml:space="preserve">gained ground</w:t>
      </w:r>
      <w:r>
        <w:t xml:space="preserve"> </w:t>
      </w:r>
      <w:r>
        <w:t xml:space="preserve">2017→2024.</w:t>
      </w:r>
    </w:p>
    <w:p>
      <w:pPr>
        <w:pStyle w:val="Compact"/>
        <w:numPr>
          <w:ilvl w:val="0"/>
          <w:numId w:val="1006"/>
        </w:numPr>
      </w:pPr>
      <w:r>
        <w:t xml:space="preserve">They do so against a backdrop of severe financial fragility (AHA 2024; ASPE 2024 documenting continuing closures).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Implication</w:t>
      </w:r>
      <w:r>
        <w:t xml:space="preserve">: HCAHPS is one of the few quality measures where rural hospitals consistently outperform. This deserves visibility in policy conversations about rural hospital sustainability.</w:t>
      </w:r>
    </w:p>
    <w:bookmarkEnd w:id="16"/>
    <w:bookmarkStart w:id="17" w:name="Xc86c5037e111dc865b49bb91667259dd0a08800"/>
    <w:p>
      <w:pPr>
        <w:pStyle w:val="Heading3"/>
      </w:pPr>
      <w:r>
        <w:t xml:space="preserve">C. Be cautious about attributing national rating changes to specific causes</w:t>
      </w:r>
    </w:p>
    <w:p>
      <w:pPr>
        <w:pStyle w:val="Compact"/>
        <w:numPr>
          <w:ilvl w:val="0"/>
          <w:numId w:val="1007"/>
        </w:numPr>
      </w:pPr>
      <w:r>
        <w:t xml:space="preserve">Community-change variables explain almost none of the trajectory; observable structural factors are not the driver.</w:t>
      </w:r>
    </w:p>
    <w:p>
      <w:pPr>
        <w:pStyle w:val="Compact"/>
        <w:numPr>
          <w:ilvl w:val="0"/>
          <w:numId w:val="1007"/>
        </w:numPr>
      </w:pPr>
      <w:r>
        <w:t xml:space="preserve">This is consistent with the staffing-resilience story in Elliott et al. (2023, 2025) — and complementary to it: change is largely within-hospital, operational, and idiosyncratic.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Implication</w:t>
      </w:r>
      <w:r>
        <w:t xml:space="preserve">: ratings shifts are not a clean signal of community-driven structural change. Attributing post-2017 declines to "the pandemic" or "demographic change" requires more granular, within-hospital analysis than published data currently support.</w:t>
      </w:r>
    </w:p>
    <w:p>
      <w:pPr>
        <w:pStyle w:val="FirstParagraph"/>
      </w:pPr>
      <w:r>
        <w:t xml:space="preserve">A weaker fourth:</w:t>
      </w:r>
      <w:r>
        <w:t xml:space="preserve"> </w:t>
      </w:r>
      <w:r>
        <w:rPr>
          <w:b/>
          <w:bCs/>
        </w:rPr>
        <w:t xml:space="preserve">ownership matters for trajectories, not just levels</w:t>
      </w:r>
      <w:r>
        <w:t xml:space="preserve"> </w:t>
      </w:r>
      <w:r>
        <w:t xml:space="preserve">— for-profit and non-profit hospitals declined more than government. Worth a sentence; not the policy headline.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234a06bc2eb223a5e8a81224b1fd9967f1bd33a"/>
    <w:p>
      <w:pPr>
        <w:pStyle w:val="Heading2"/>
      </w:pPr>
      <w:r>
        <w:t xml:space="preserve">4. Scope decisions (what we are NOT doing)</w:t>
      </w:r>
    </w:p>
    <w:p>
      <w:pPr>
        <w:pStyle w:val="FirstParagraph"/>
      </w:pPr>
      <w:r>
        <w:t xml:space="preserve">To keep the paper tight and Health Affairs-ready: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analyzing all 10 HCAHPS sub-domain ratings. Overall star rating is the dependent variable; sub-ratings appear only as covariates in some specifications.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examining intra-pandemic dynamics (Elliott 2023 already covers this).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modeling hospital fixed effects beyond the change-score specification (the change model is already a first-difference).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building a causal claim about what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the decline. The framing is associational and decomposition-based.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including HCAHPS Star Ratings methodology critique as primary content — Gettel 2024 already does this; we cite it.</w:t>
      </w:r>
    </w:p>
    <w:p>
      <w:r>
        <w:pict>
          <v:rect style="width:0;height:1.5pt" o:hralign="center" o:hrstd="t" o:hr="t"/>
        </w:pict>
      </w:r>
    </w:p>
    <w:bookmarkEnd w:id="19"/>
    <w:bookmarkStart w:id="20" w:name="Xa3335f748edc19381902c877b31544fae767773"/>
    <w:p>
      <w:pPr>
        <w:pStyle w:val="Heading2"/>
      </w:pPr>
      <w:r>
        <w:t xml:space="preserve">5. Open framing questions for alignment</w:t>
      </w:r>
    </w:p>
    <w:p>
      <w:pPr>
        <w:pStyle w:val="FirstParagraph"/>
      </w:pPr>
      <w:r>
        <w:t xml:space="preserve">Before we outline, I'd like your read on these: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Headline sentence</w:t>
      </w:r>
      <w:r>
        <w:t xml:space="preserve"> </w:t>
      </w:r>
      <w:r>
        <w:t xml:space="preserve">— would you prefer the framing to lead with: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(a) Methodological asymmetry</w:t>
      </w:r>
      <w:r>
        <w:t xml:space="preserve">: "Community context explains hospital star-rating levels but not changes" — the cleanest novel claim.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(b) Policy-forward</w:t>
      </w:r>
      <w:r>
        <w:t xml:space="preserve">: "Star ratings systematically penalize structurally disadvantaged hospitals; a national rating decline cannot be explained by community change" — packs both contributions but is busier.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(c) Rural-forward</w:t>
      </w:r>
      <w:r>
        <w:t xml:space="preserve">: "Rural hospitals lead and are widening the patient-experience gap" — narrower but most striking single message.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How prominent should the COVID story be?</w:t>
      </w:r>
      <w:r>
        <w:t xml:space="preserve"> </w:t>
      </w:r>
      <w:r>
        <w:t xml:space="preserve">We're not the first to document the decline (Elliott 2023, Beckett 2025). Three options:</w:t>
      </w:r>
    </w:p>
    <w:p>
      <w:pPr>
        <w:pStyle w:val="Compact"/>
        <w:numPr>
          <w:ilvl w:val="1"/>
          <w:numId w:val="1011"/>
        </w:numPr>
      </w:pPr>
      <w:r>
        <w:t xml:space="preserve">Foreground it as the empirical motivation, then pivot to our decomposition.</w:t>
      </w:r>
    </w:p>
    <w:p>
      <w:pPr>
        <w:pStyle w:val="Compact"/>
        <w:numPr>
          <w:ilvl w:val="1"/>
          <w:numId w:val="1011"/>
        </w:numPr>
      </w:pPr>
      <w:r>
        <w:t xml:space="preserve">Mention it briefly and lead with the levels-vs-change finding.</w:t>
      </w:r>
    </w:p>
    <w:p>
      <w:pPr>
        <w:pStyle w:val="Compact"/>
        <w:numPr>
          <w:ilvl w:val="1"/>
          <w:numId w:val="1011"/>
        </w:numPr>
      </w:pPr>
      <w:r>
        <w:t xml:space="preserve">Treat it as backdrop only.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Should the maps be a primary exhibit or relegated to appendix?</w:t>
      </w:r>
      <w:r>
        <w:t xml:space="preserve"> </w:t>
      </w:r>
      <w:r>
        <w:t xml:space="preserve">They're descriptive, not analytic; Health Affairs likes visual evidence but is exhibit-constrained.</w:t>
      </w:r>
    </w:p>
    <w:p>
      <w:pPr>
        <w:pStyle w:val="FirstParagraph"/>
      </w:pPr>
      <w:r>
        <w:t xml:space="preserve">Once these are settled, I'll draft the manuscript outline (IMRaD adapted to Health Affairs format).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2026-05-01T14:59:45Z</dcterms:created>
  <dcterms:modified xsi:type="dcterms:W3CDTF">2026-05-01T14:59:45Z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