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2BE3" w14:textId="77777777" w:rsidR="00BD3A86" w:rsidRDefault="00E934B4">
      <w:pPr>
        <w:pStyle w:val="Heading1"/>
      </w:pPr>
      <w:bookmarkStart w:id="0" w:name="Xc4b5114c1ab87e8176ed548028c2f4923e699dc"/>
      <w:r>
        <w:t>Study framing — HCAHPS overall star ratings, 2017 vs 2024</w:t>
      </w:r>
    </w:p>
    <w:p w14:paraId="53282BE4" w14:textId="77777777" w:rsidR="00BD3A86" w:rsidRDefault="00E934B4">
      <w:pPr>
        <w:pStyle w:val="FirstParagraph"/>
      </w:pPr>
      <w:r>
        <w:rPr>
          <w:b/>
          <w:bCs/>
        </w:rPr>
        <w:t>Working document — alignment before outlining</w:t>
      </w:r>
      <w:r>
        <w:t xml:space="preserve"> </w:t>
      </w:r>
      <w:r>
        <w:rPr>
          <w:b/>
          <w:bCs/>
        </w:rPr>
        <w:t>Date:</w:t>
      </w:r>
      <w:r>
        <w:t xml:space="preserve"> 2026-05-01 </w:t>
      </w:r>
      <w:r>
        <w:rPr>
          <w:b/>
          <w:bCs/>
        </w:rPr>
        <w:t>Target journal:</w:t>
      </w:r>
      <w:r>
        <w:t xml:space="preserve"> Health Affairs (primary); JAMA Health Forum and Health Affairs Scholar as alternates</w:t>
      </w:r>
    </w:p>
    <w:p w14:paraId="53282BE5" w14:textId="77777777" w:rsidR="00BD3A86" w:rsidRDefault="00E934B4">
      <w:r>
        <w:pict w14:anchorId="53282C37">
          <v:rect id="_x0000_i1025" style="width:0;height:1.5pt" o:hralign="center" o:hrstd="t" o:hr="t"/>
        </w:pict>
      </w:r>
    </w:p>
    <w:p w14:paraId="53282BE6" w14:textId="77777777" w:rsidR="00BD3A86" w:rsidRDefault="00E934B4">
      <w:pPr>
        <w:pStyle w:val="Heading2"/>
      </w:pPr>
      <w:bookmarkStart w:id="1" w:name="X595791e2fb839415004f143b9bde430670790c7"/>
      <w:r>
        <w:t>1. Key findings</w:t>
      </w:r>
    </w:p>
    <w:p w14:paraId="53282BE7" w14:textId="77777777" w:rsidR="00BD3A86" w:rsidRDefault="00E934B4">
      <w:pPr>
        <w:pStyle w:val="Heading3"/>
      </w:pPr>
      <w:bookmarkStart w:id="2" w:name="headline-numbers"/>
      <w:r>
        <w:t>Headline numbers</w:t>
      </w:r>
    </w:p>
    <w:p w14:paraId="53282BE8" w14:textId="77777777" w:rsidR="00BD3A86" w:rsidRDefault="00E934B4">
      <w:pPr>
        <w:pStyle w:val="Compact"/>
        <w:numPr>
          <w:ilvl w:val="0"/>
          <w:numId w:val="2"/>
        </w:numPr>
      </w:pPr>
      <w:r>
        <w:rPr>
          <w:b/>
          <w:bCs/>
        </w:rPr>
        <w:t>National decline in overall star rating</w:t>
      </w:r>
      <w:r>
        <w:t>: mean 3.45 (2017) → 3.27 (2024), a drop of ≈0.18 stars.</w:t>
      </w:r>
    </w:p>
    <w:p w14:paraId="53282BE9" w14:textId="77777777" w:rsidR="00BD3A86" w:rsidRDefault="00E934B4">
      <w:pPr>
        <w:pStyle w:val="Compact"/>
        <w:numPr>
          <w:ilvl w:val="0"/>
          <w:numId w:val="2"/>
        </w:numPr>
      </w:pPr>
      <w:r>
        <w:rPr>
          <w:b/>
          <w:bCs/>
        </w:rPr>
        <w:t>ED throughput improved sharply</w:t>
      </w:r>
      <w:r>
        <w:t>: median time in ED 292 → 181 minutes.</w:t>
      </w:r>
    </w:p>
    <w:p w14:paraId="53282BEA" w14:textId="77777777" w:rsidR="00BD3A86" w:rsidRDefault="00E934B4">
      <w:pPr>
        <w:pStyle w:val="Compact"/>
        <w:numPr>
          <w:ilvl w:val="0"/>
          <w:numId w:val="2"/>
        </w:numPr>
      </w:pPr>
      <w:r>
        <w:rPr>
          <w:b/>
          <w:bCs/>
        </w:rPr>
        <w:t>Sample</w:t>
      </w:r>
      <w:r>
        <w:t>: N = 2,380 hospitals (66.5% for-profit, 18.7% non-profit, 14.8% government; 69.5% urban, 20.8% large rural, 9.7% small rural).</w:t>
      </w:r>
    </w:p>
    <w:p w14:paraId="53282BEB" w14:textId="77777777" w:rsidR="00BD3A86" w:rsidRDefault="00E934B4">
      <w:pPr>
        <w:pStyle w:val="Heading3"/>
      </w:pPr>
      <w:bookmarkStart w:id="3" w:name="two-regression-stories"/>
      <w:bookmarkEnd w:id="2"/>
      <w:r>
        <w:t>Two regression stories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2"/>
        <w:gridCol w:w="1166"/>
        <w:gridCol w:w="6318"/>
      </w:tblGrid>
      <w:tr w:rsidR="00BD3A86" w14:paraId="53282BEF" w14:textId="77777777" w:rsidTr="00BD3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282BEC" w14:textId="77777777" w:rsidR="00BD3A86" w:rsidRDefault="00E934B4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53282BED" w14:textId="77777777" w:rsidR="00BD3A86" w:rsidRDefault="00E934B4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53282BEE" w14:textId="77777777" w:rsidR="00BD3A86" w:rsidRDefault="00E934B4">
            <w:pPr>
              <w:pStyle w:val="Compact"/>
            </w:pPr>
            <w:r>
              <w:t>What it tells us</w:t>
            </w:r>
          </w:p>
        </w:tc>
      </w:tr>
      <w:tr w:rsidR="00BD3A86" w14:paraId="53282BF3" w14:textId="77777777">
        <w:tc>
          <w:tcPr>
            <w:tcW w:w="0" w:type="auto"/>
          </w:tcPr>
          <w:p w14:paraId="53282BF0" w14:textId="77777777" w:rsidR="00BD3A86" w:rsidRDefault="00E934B4">
            <w:pPr>
              <w:pStyle w:val="Compact"/>
            </w:pPr>
            <w:r>
              <w:t>2017 levels</w:t>
            </w:r>
          </w:p>
        </w:tc>
        <w:tc>
          <w:tcPr>
            <w:tcW w:w="0" w:type="auto"/>
          </w:tcPr>
          <w:p w14:paraId="53282BF1" w14:textId="77777777" w:rsidR="00BD3A86" w:rsidRDefault="00E934B4">
            <w:pPr>
              <w:pStyle w:val="Compact"/>
            </w:pPr>
            <w:r>
              <w:t>≈0.24</w:t>
            </w:r>
          </w:p>
        </w:tc>
        <w:tc>
          <w:tcPr>
            <w:tcW w:w="0" w:type="auto"/>
          </w:tcPr>
          <w:p w14:paraId="53282BF2" w14:textId="77777777" w:rsidR="00BD3A86" w:rsidRDefault="00E934B4">
            <w:pPr>
              <w:pStyle w:val="Compact"/>
            </w:pPr>
            <w:r>
              <w:t>Hospital + community factors explain a meaningful share of variation</w:t>
            </w:r>
          </w:p>
        </w:tc>
      </w:tr>
      <w:tr w:rsidR="00BD3A86" w14:paraId="53282BF7" w14:textId="77777777">
        <w:tc>
          <w:tcPr>
            <w:tcW w:w="0" w:type="auto"/>
          </w:tcPr>
          <w:p w14:paraId="53282BF4" w14:textId="77777777" w:rsidR="00BD3A86" w:rsidRDefault="00E934B4">
            <w:pPr>
              <w:pStyle w:val="Compact"/>
            </w:pPr>
            <w:r>
              <w:t>2024 levels</w:t>
            </w:r>
          </w:p>
        </w:tc>
        <w:tc>
          <w:tcPr>
            <w:tcW w:w="0" w:type="auto"/>
          </w:tcPr>
          <w:p w14:paraId="53282BF5" w14:textId="77777777" w:rsidR="00BD3A86" w:rsidRDefault="00E934B4">
            <w:pPr>
              <w:pStyle w:val="Compact"/>
            </w:pPr>
            <w:r>
              <w:t>≈0.24</w:t>
            </w:r>
          </w:p>
        </w:tc>
        <w:tc>
          <w:tcPr>
            <w:tcW w:w="0" w:type="auto"/>
          </w:tcPr>
          <w:p w14:paraId="53282BF6" w14:textId="77777777" w:rsidR="00BD3A86" w:rsidRDefault="00E934B4">
            <w:pPr>
              <w:pStyle w:val="Compact"/>
            </w:pPr>
            <w:r>
              <w:t>Same story, same magnitude — pattern is stable</w:t>
            </w:r>
          </w:p>
        </w:tc>
      </w:tr>
      <w:tr w:rsidR="00BD3A86" w14:paraId="53282BFB" w14:textId="77777777">
        <w:tc>
          <w:tcPr>
            <w:tcW w:w="0" w:type="auto"/>
          </w:tcPr>
          <w:p w14:paraId="53282BF8" w14:textId="77777777" w:rsidR="00BD3A86" w:rsidRDefault="00E934B4">
            <w:pPr>
              <w:pStyle w:val="Compact"/>
            </w:pPr>
            <w:r>
              <w:rPr>
                <w:b/>
                <w:bCs/>
              </w:rPr>
              <w:t>2017→2024 change</w:t>
            </w:r>
          </w:p>
        </w:tc>
        <w:tc>
          <w:tcPr>
            <w:tcW w:w="0" w:type="auto"/>
          </w:tcPr>
          <w:p w14:paraId="53282BF9" w14:textId="77777777" w:rsidR="00BD3A86" w:rsidRDefault="00E934B4">
            <w:pPr>
              <w:pStyle w:val="Compact"/>
            </w:pPr>
            <w:r>
              <w:rPr>
                <w:b/>
                <w:bCs/>
              </w:rPr>
              <w:t>0.04–0.06</w:t>
            </w:r>
          </w:p>
        </w:tc>
        <w:tc>
          <w:tcPr>
            <w:tcW w:w="0" w:type="auto"/>
          </w:tcPr>
          <w:p w14:paraId="53282BFA" w14:textId="77777777" w:rsidR="00BD3A86" w:rsidRDefault="00E934B4">
            <w:pPr>
              <w:pStyle w:val="Compact"/>
            </w:pPr>
            <w:r>
              <w:t xml:space="preserve">Same covariates explain almost nothing about </w:t>
            </w:r>
            <w:r>
              <w:rPr>
                <w:i/>
                <w:iCs/>
              </w:rPr>
              <w:t>trajectories</w:t>
            </w:r>
          </w:p>
        </w:tc>
      </w:tr>
    </w:tbl>
    <w:p w14:paraId="53282BFC" w14:textId="77777777" w:rsidR="00BD3A86" w:rsidRDefault="00E934B4">
      <w:pPr>
        <w:pStyle w:val="BodyText"/>
      </w:pPr>
      <w:r>
        <w:t xml:space="preserve">This </w:t>
      </w:r>
      <w:r>
        <w:rPr>
          <w:b/>
          <w:bCs/>
        </w:rPr>
        <w:t>levels-vs-change asymmetry</w:t>
      </w:r>
      <w:r>
        <w:t xml:space="preserve"> is the single most important quantitative finding.</w:t>
      </w:r>
    </w:p>
    <w:p w14:paraId="53282BFD" w14:textId="77777777" w:rsidR="00BD3A86" w:rsidRDefault="00E934B4">
      <w:pPr>
        <w:pStyle w:val="Heading3"/>
      </w:pPr>
      <w:bookmarkStart w:id="4" w:name="X6d9917ba51496d8cb911c656c817bf7c19323b4"/>
      <w:bookmarkEnd w:id="3"/>
      <w:r>
        <w:t>Levels — what predicts higher ratings (consistent across 2017 and 2024)</w:t>
      </w:r>
    </w:p>
    <w:p w14:paraId="53282BFE" w14:textId="77777777" w:rsidR="00BD3A86" w:rsidRDefault="00E934B4">
      <w:pPr>
        <w:pStyle w:val="Compact"/>
        <w:numPr>
          <w:ilvl w:val="0"/>
          <w:numId w:val="3"/>
        </w:numPr>
      </w:pPr>
      <w:r>
        <w:rPr>
          <w:b/>
          <w:bCs/>
        </w:rPr>
        <w:t>Ownership</w:t>
      </w:r>
      <w:r>
        <w:t xml:space="preserve"> (vs government): non-profit −0.58 stars (2024), for-profit −0.11 (2024). Government is the highest-scoring category.</w:t>
      </w:r>
    </w:p>
    <w:p w14:paraId="53282BFF" w14:textId="77777777" w:rsidR="00BD3A86" w:rsidRDefault="00E934B4">
      <w:pPr>
        <w:pStyle w:val="Compact"/>
        <w:numPr>
          <w:ilvl w:val="0"/>
          <w:numId w:val="3"/>
        </w:numPr>
      </w:pPr>
      <w:r>
        <w:rPr>
          <w:b/>
          <w:bCs/>
        </w:rPr>
        <w:t>Rural advantage</w:t>
      </w:r>
      <w:r>
        <w:t>: small rural +0.61 vs urban (2024); large rural roughly null in levels.</w:t>
      </w:r>
    </w:p>
    <w:p w14:paraId="53282C00" w14:textId="77777777" w:rsidR="00BD3A86" w:rsidRDefault="00E934B4">
      <w:pPr>
        <w:pStyle w:val="Compact"/>
        <w:numPr>
          <w:ilvl w:val="0"/>
          <w:numId w:val="3"/>
        </w:numPr>
      </w:pPr>
      <w:r>
        <w:rPr>
          <w:b/>
          <w:bCs/>
        </w:rPr>
        <w:t>Operations</w:t>
      </w:r>
      <w:r>
        <w:t>: longer ED time → lower; more hospitals per 1,000 population → higher.</w:t>
      </w:r>
    </w:p>
    <w:p w14:paraId="53282C01" w14:textId="77777777" w:rsidR="00BD3A86" w:rsidRDefault="00E934B4">
      <w:pPr>
        <w:pStyle w:val="Compact"/>
        <w:numPr>
          <w:ilvl w:val="0"/>
          <w:numId w:val="3"/>
        </w:numPr>
      </w:pPr>
      <w:r>
        <w:rPr>
          <w:b/>
          <w:bCs/>
        </w:rPr>
        <w:t>Community</w:t>
      </w:r>
      <w:r>
        <w:t>: higher % 65+, % foreign-born, % poor → lower; higher % bachelor's+ → higher.</w:t>
      </w:r>
    </w:p>
    <w:p w14:paraId="53282C02" w14:textId="77777777" w:rsidR="00BD3A86" w:rsidRDefault="00E934B4">
      <w:pPr>
        <w:pStyle w:val="Compact"/>
        <w:numPr>
          <w:ilvl w:val="0"/>
          <w:numId w:val="3"/>
        </w:numPr>
      </w:pPr>
      <w:r>
        <w:rPr>
          <w:b/>
          <w:bCs/>
        </w:rPr>
        <w:t>Counterintuitive flag</w:t>
      </w:r>
      <w:r>
        <w:t xml:space="preserve">: % subjective poor health → </w:t>
      </w:r>
      <w:r>
        <w:rPr>
          <w:i/>
          <w:iCs/>
        </w:rPr>
        <w:t>higher</w:t>
      </w:r>
      <w:r>
        <w:t xml:space="preserve"> ratings; high % poor </w:t>
      </w:r>
      <w:r>
        <w:rPr>
          <w:i/>
          <w:iCs/>
        </w:rPr>
        <w:t>and</w:t>
      </w:r>
      <w:r>
        <w:t xml:space="preserve"> high % poor 65+ → both lower (collinear; needs care in interpretation).</w:t>
      </w:r>
    </w:p>
    <w:p w14:paraId="53282C03" w14:textId="77777777" w:rsidR="00BD3A86" w:rsidRDefault="00E934B4">
      <w:pPr>
        <w:pStyle w:val="Heading3"/>
      </w:pPr>
      <w:bookmarkStart w:id="5" w:name="Xdedd48548dc42bc8f69de0829f81449d6c6e985"/>
      <w:bookmarkEnd w:id="4"/>
      <w:r>
        <w:t>Change — what predicts gaining or losing stars 2017→2024</w:t>
      </w:r>
    </w:p>
    <w:p w14:paraId="53282C04" w14:textId="77777777" w:rsidR="00BD3A86" w:rsidRDefault="00E934B4">
      <w:pPr>
        <w:pStyle w:val="Compact"/>
        <w:numPr>
          <w:ilvl w:val="0"/>
          <w:numId w:val="4"/>
        </w:numPr>
      </w:pPr>
      <w:r>
        <w:rPr>
          <w:b/>
          <w:bCs/>
        </w:rPr>
        <w:t>Rural hospitals improved relative to urban</w:t>
      </w:r>
      <w:r>
        <w:t>: large rural +0.20, small rural +0.28.</w:t>
      </w:r>
    </w:p>
    <w:p w14:paraId="53282C05" w14:textId="77777777" w:rsidR="00BD3A86" w:rsidRDefault="00E934B4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Non-profit and for-profit declined more than government</w:t>
      </w:r>
      <w:r>
        <w:t>: −0.11 and −0.13 respectively.</w:t>
      </w:r>
    </w:p>
    <w:p w14:paraId="53282C06" w14:textId="77777777" w:rsidR="00BD3A86" w:rsidRDefault="00E934B4">
      <w:pPr>
        <w:pStyle w:val="Compact"/>
        <w:numPr>
          <w:ilvl w:val="0"/>
          <w:numId w:val="4"/>
        </w:numPr>
      </w:pPr>
      <w:r>
        <w:rPr>
          <w:b/>
          <w:bCs/>
        </w:rPr>
        <w:t>ED time reduction</w:t>
      </w:r>
      <w:r>
        <w:t xml:space="preserve"> associated with small rating gains.</w:t>
      </w:r>
    </w:p>
    <w:p w14:paraId="53282C07" w14:textId="77777777" w:rsidR="00BD3A86" w:rsidRDefault="00E934B4">
      <w:pPr>
        <w:pStyle w:val="Compact"/>
        <w:numPr>
          <w:ilvl w:val="0"/>
          <w:numId w:val="4"/>
        </w:numPr>
      </w:pPr>
      <w:r>
        <w:rPr>
          <w:b/>
          <w:bCs/>
        </w:rPr>
        <w:t>Almost no community-change variable</w:t>
      </w:r>
      <w:r>
        <w:t xml:space="preserve"> reaches significance — the population-shift story does not explain the rating-shift story.</w:t>
      </w:r>
    </w:p>
    <w:p w14:paraId="53282C08" w14:textId="77777777" w:rsidR="00BD3A86" w:rsidRDefault="00E934B4">
      <w:r>
        <w:pict w14:anchorId="53282C38">
          <v:rect id="_x0000_i1026" style="width:0;height:1.5pt" o:hralign="center" o:hrstd="t" o:hr="t"/>
        </w:pict>
      </w:r>
    </w:p>
    <w:p w14:paraId="53282C09" w14:textId="77777777" w:rsidR="00BD3A86" w:rsidRDefault="00E934B4">
      <w:pPr>
        <w:pStyle w:val="Heading2"/>
      </w:pPr>
      <w:bookmarkStart w:id="6" w:name="X2cae4f6c615eab2c4658e8af33b89604cc9064a"/>
      <w:bookmarkEnd w:id="1"/>
      <w:bookmarkEnd w:id="5"/>
      <w:r>
        <w:t>2. Literature gap (refined after review)</w:t>
      </w:r>
    </w:p>
    <w:p w14:paraId="53282C0A" w14:textId="77777777" w:rsidR="00BD3A86" w:rsidRDefault="00E934B4">
      <w:pPr>
        <w:pStyle w:val="FirstParagraph"/>
      </w:pPr>
      <w:r>
        <w:t>The HCAHPS literature has three established threads:</w:t>
      </w:r>
    </w:p>
    <w:p w14:paraId="53282C0B" w14:textId="77777777" w:rsidR="00BD3A86" w:rsidRDefault="00E934B4">
      <w:pPr>
        <w:pStyle w:val="Compact"/>
        <w:numPr>
          <w:ilvl w:val="0"/>
          <w:numId w:val="5"/>
        </w:numPr>
      </w:pPr>
      <w:r>
        <w:rPr>
          <w:b/>
          <w:bCs/>
        </w:rPr>
        <w:t>Cross-sectional determinants</w:t>
      </w:r>
      <w:r>
        <w:t xml:space="preserve"> — Beckett et al. (2024) review; Herrin et al. (2018) on community factors; Fitzpatrick Rosenbaum et al. (2024) on nursing.</w:t>
      </w:r>
    </w:p>
    <w:p w14:paraId="53282C0C" w14:textId="77777777" w:rsidR="00BD3A86" w:rsidRDefault="00E934B4">
      <w:pPr>
        <w:pStyle w:val="Compact"/>
        <w:numPr>
          <w:ilvl w:val="0"/>
          <w:numId w:val="5"/>
        </w:numPr>
      </w:pPr>
      <w:r w:rsidRPr="00F91584">
        <w:rPr>
          <w:b/>
          <w:bCs/>
          <w:lang w:val="fr-FR"/>
        </w:rPr>
        <w:t>National COVID-</w:t>
      </w:r>
      <w:proofErr w:type="spellStart"/>
      <w:r w:rsidRPr="00F91584">
        <w:rPr>
          <w:b/>
          <w:bCs/>
          <w:lang w:val="fr-FR"/>
        </w:rPr>
        <w:t>era</w:t>
      </w:r>
      <w:proofErr w:type="spellEnd"/>
      <w:r w:rsidRPr="00F91584">
        <w:rPr>
          <w:b/>
          <w:bCs/>
          <w:lang w:val="fr-FR"/>
        </w:rPr>
        <w:t xml:space="preserve"> trend</w:t>
      </w:r>
      <w:r w:rsidRPr="00F91584">
        <w:rPr>
          <w:lang w:val="fr-FR"/>
        </w:rPr>
        <w:t xml:space="preserve"> — Elliott et al. </w:t>
      </w:r>
      <w:r>
        <w:t>(2023, JAMA Health Forum) documents the pandemic decline through Q4 2021; Beckett et al. (2025, Med Care Res Rev) extends it through 2023 and shows persistence.</w:t>
      </w:r>
    </w:p>
    <w:p w14:paraId="53282C0D" w14:textId="77777777" w:rsidR="00BD3A86" w:rsidRDefault="00E934B4">
      <w:pPr>
        <w:pStyle w:val="Compact"/>
        <w:numPr>
          <w:ilvl w:val="0"/>
          <w:numId w:val="5"/>
        </w:numPr>
      </w:pPr>
      <w:r>
        <w:rPr>
          <w:b/>
          <w:bCs/>
        </w:rPr>
        <w:t>Risk-adjustment / Star Ratings methodology</w:t>
      </w:r>
      <w:r>
        <w:t xml:space="preserve"> — Elliott et al. (2025) on CMS patient-mix adjustment; Gettel et al. (2024) on Star Ratings peer grouping; National Academies (2016) on social risk factors.</w:t>
      </w:r>
    </w:p>
    <w:p w14:paraId="53282C0E" w14:textId="77777777" w:rsidR="00BD3A86" w:rsidRDefault="00E934B4">
      <w:pPr>
        <w:pStyle w:val="FirstParagraph"/>
      </w:pPr>
      <w:r>
        <w:rPr>
          <w:b/>
          <w:bCs/>
        </w:rPr>
        <w:t>What none of these do</w:t>
      </w:r>
      <w:r>
        <w:t xml:space="preserve"> — and what this study adds:</w:t>
      </w:r>
    </w:p>
    <w:p w14:paraId="53282C0F" w14:textId="77777777" w:rsidR="00BD3A86" w:rsidRDefault="00E934B4">
      <w:pPr>
        <w:pStyle w:val="BlockText"/>
      </w:pPr>
      <w:r>
        <w:t xml:space="preserve">A </w:t>
      </w:r>
      <w:r>
        <w:rPr>
          <w:b/>
          <w:bCs/>
        </w:rPr>
        <w:t>hospital-level analysis that uses a 2017 (mature pre-COVID baseline) vs 2024 (post-pandemic stabilization) horizon, jointly modeling hospital, operational, and community-level covariates for both rating levels and rating change, and showing that observable factors explain ~24% of cross-sectional variation but &lt;6% of trajectory variation.</w:t>
      </w:r>
    </w:p>
    <w:p w14:paraId="53282C10" w14:textId="77777777" w:rsidR="00BD3A86" w:rsidRDefault="00E934B4">
      <w:pPr>
        <w:pStyle w:val="FirstParagraph"/>
      </w:pPr>
      <w:r>
        <w:t>The decomposition matters because it changes how we should interpret rating changes for policy use.</w:t>
      </w:r>
    </w:p>
    <w:p w14:paraId="53282C11" w14:textId="77777777" w:rsidR="00BD3A86" w:rsidRDefault="00E934B4">
      <w:r>
        <w:pict w14:anchorId="53282C39">
          <v:rect id="_x0000_i1027" style="width:0;height:1.5pt" o:hralign="center" o:hrstd="t" o:hr="t"/>
        </w:pict>
      </w:r>
    </w:p>
    <w:p w14:paraId="53282C12" w14:textId="77777777" w:rsidR="00BD3A86" w:rsidRDefault="00E934B4">
      <w:pPr>
        <w:pStyle w:val="Heading2"/>
      </w:pPr>
      <w:bookmarkStart w:id="7" w:name="Xf4b031fa66514e728cc22e97d816802dfe9c664"/>
      <w:bookmarkEnd w:id="6"/>
      <w:r>
        <w:t>3. Policy implications</w:t>
      </w:r>
    </w:p>
    <w:p w14:paraId="53282C13" w14:textId="77777777" w:rsidR="00BD3A86" w:rsidRDefault="00E934B4">
      <w:pPr>
        <w:pStyle w:val="FirstParagraph"/>
      </w:pPr>
      <w:r>
        <w:t>Three, in order of confidence:</w:t>
      </w:r>
    </w:p>
    <w:p w14:paraId="53282C14" w14:textId="77777777" w:rsidR="00BD3A86" w:rsidRDefault="00E934B4">
      <w:pPr>
        <w:pStyle w:val="Heading3"/>
      </w:pPr>
      <w:bookmarkStart w:id="8" w:name="X0f9d54e254ecf7af187cb5998e8a7ee3fe74589"/>
      <w:r>
        <w:t>A. Risk adjustment for community context deserves reconsideration</w:t>
      </w:r>
    </w:p>
    <w:p w14:paraId="53282C15" w14:textId="77777777" w:rsidR="00BD3A86" w:rsidRDefault="00E934B4">
      <w:pPr>
        <w:pStyle w:val="Compact"/>
        <w:numPr>
          <w:ilvl w:val="0"/>
          <w:numId w:val="6"/>
        </w:numPr>
      </w:pPr>
      <w:r>
        <w:t xml:space="preserve">~24% of </w:t>
      </w:r>
      <w:r>
        <w:rPr>
          <w:i/>
          <w:iCs/>
        </w:rPr>
        <w:t>level</w:t>
      </w:r>
      <w:r>
        <w:t xml:space="preserve"> variation tracks community demographics that hospitals can't change (% foreign-born, % poor, age structure).</w:t>
      </w:r>
    </w:p>
    <w:p w14:paraId="53282C16" w14:textId="77777777" w:rsidR="00BD3A86" w:rsidRDefault="00E934B4">
      <w:pPr>
        <w:pStyle w:val="Compact"/>
        <w:numPr>
          <w:ilvl w:val="0"/>
          <w:numId w:val="6"/>
        </w:numPr>
      </w:pPr>
      <w:r>
        <w:t>CMS patient-mix adjustment (Elliott et al. 2025) operates only at the individual patient level; community context is not adjusted.</w:t>
      </w:r>
    </w:p>
    <w:p w14:paraId="53282C17" w14:textId="77777777" w:rsidR="00BD3A86" w:rsidRDefault="00E934B4">
      <w:pPr>
        <w:pStyle w:val="Compact"/>
        <w:numPr>
          <w:ilvl w:val="0"/>
          <w:numId w:val="6"/>
        </w:numPr>
      </w:pPr>
      <w:r>
        <w:t>The National Academies (2016) framework already laid out the rationale for social risk adjustment; our results provide updated empirical support specifically for HCAHPS.</w:t>
      </w:r>
    </w:p>
    <w:p w14:paraId="53282C18" w14:textId="77777777" w:rsidR="00BD3A86" w:rsidRDefault="00E934B4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Implication</w:t>
      </w:r>
      <w:r>
        <w:t>: hospitals serving structurally disadvantaged communities are systematically penalized in payment-linked ratings, even after current CMS adjustments. Either community-level adjusters should be added, or context-adjusted scores should be reported alongside raw stars.</w:t>
      </w:r>
    </w:p>
    <w:p w14:paraId="53282C19" w14:textId="77777777" w:rsidR="00BD3A86" w:rsidRDefault="00E934B4">
      <w:pPr>
        <w:pStyle w:val="Heading3"/>
      </w:pPr>
      <w:bookmarkStart w:id="9" w:name="X27b0bfce44de7ffcaad6b0211494134b049d06a"/>
      <w:bookmarkEnd w:id="8"/>
      <w:r>
        <w:t>B. The rural advantage is real, growing, and policy-relevant</w:t>
      </w:r>
    </w:p>
    <w:p w14:paraId="53282C1A" w14:textId="77777777" w:rsidR="00BD3A86" w:rsidRDefault="00E934B4">
      <w:pPr>
        <w:pStyle w:val="Compact"/>
        <w:numPr>
          <w:ilvl w:val="0"/>
          <w:numId w:val="7"/>
        </w:numPr>
      </w:pPr>
      <w:r>
        <w:t xml:space="preserve">Rural hospitals score higher (Vu 2024; Beckett et al. 2025 </w:t>
      </w:r>
      <w:r>
        <w:rPr>
          <w:i/>
          <w:iCs/>
        </w:rPr>
        <w:t>Health Affairs Scholar</w:t>
      </w:r>
      <w:r>
        <w:t xml:space="preserve">) and </w:t>
      </w:r>
      <w:r>
        <w:rPr>
          <w:b/>
          <w:bCs/>
        </w:rPr>
        <w:t>gained ground</w:t>
      </w:r>
      <w:r>
        <w:t xml:space="preserve"> 2017→2024.</w:t>
      </w:r>
    </w:p>
    <w:p w14:paraId="53282C1B" w14:textId="77777777" w:rsidR="00BD3A86" w:rsidRDefault="00E934B4">
      <w:pPr>
        <w:pStyle w:val="Compact"/>
        <w:numPr>
          <w:ilvl w:val="0"/>
          <w:numId w:val="7"/>
        </w:numPr>
      </w:pPr>
      <w:r>
        <w:t>They do so against a backdrop of severe financial fragility (AHA 2024; ASPE 2024 documenting continuing closures).</w:t>
      </w:r>
    </w:p>
    <w:p w14:paraId="53282C1C" w14:textId="77777777" w:rsidR="00BD3A86" w:rsidRDefault="00E934B4">
      <w:pPr>
        <w:pStyle w:val="Compact"/>
        <w:numPr>
          <w:ilvl w:val="0"/>
          <w:numId w:val="7"/>
        </w:numPr>
      </w:pPr>
      <w:r>
        <w:rPr>
          <w:b/>
          <w:bCs/>
        </w:rPr>
        <w:t>Implication</w:t>
      </w:r>
      <w:r>
        <w:t>: HCAHPS is one of the few quality measures where rural hospitals consistently outperform. This deserves visibility in policy conversations about rural hospital sustainability.</w:t>
      </w:r>
    </w:p>
    <w:p w14:paraId="53282C1D" w14:textId="77777777" w:rsidR="00BD3A86" w:rsidRDefault="00E934B4">
      <w:pPr>
        <w:pStyle w:val="Heading3"/>
      </w:pPr>
      <w:bookmarkStart w:id="10" w:name="Xc86c5037e111dc865b49bb91667259dd0a08800"/>
      <w:bookmarkEnd w:id="9"/>
      <w:r>
        <w:t>C. Be cautious about attributing national rating changes to specific causes</w:t>
      </w:r>
    </w:p>
    <w:p w14:paraId="53282C1E" w14:textId="77777777" w:rsidR="00BD3A86" w:rsidRDefault="00E934B4">
      <w:pPr>
        <w:pStyle w:val="Compact"/>
        <w:numPr>
          <w:ilvl w:val="0"/>
          <w:numId w:val="8"/>
        </w:numPr>
      </w:pPr>
      <w:r>
        <w:t>Community-change variables explain almost none of the trajectory; observable structural factors are not the driver.</w:t>
      </w:r>
    </w:p>
    <w:p w14:paraId="53282C1F" w14:textId="77777777" w:rsidR="00BD3A86" w:rsidRDefault="00E934B4">
      <w:pPr>
        <w:pStyle w:val="Compact"/>
        <w:numPr>
          <w:ilvl w:val="0"/>
          <w:numId w:val="8"/>
        </w:numPr>
      </w:pPr>
      <w:r>
        <w:t>This is consistent with the staffing-resilience story in Elliott et al. (2023, 2025) — and complementary to it: change is largely within-hospital, operational, and idiosyncratic.</w:t>
      </w:r>
    </w:p>
    <w:p w14:paraId="53282C20" w14:textId="77777777" w:rsidR="00BD3A86" w:rsidRDefault="00E934B4">
      <w:pPr>
        <w:pStyle w:val="Compact"/>
        <w:numPr>
          <w:ilvl w:val="0"/>
          <w:numId w:val="8"/>
        </w:numPr>
      </w:pPr>
      <w:r>
        <w:rPr>
          <w:b/>
          <w:bCs/>
        </w:rPr>
        <w:t>Implication</w:t>
      </w:r>
      <w:r>
        <w:t>: ratings shifts are not a clean signal of community-driven structural change. Attributing post-2017 declines to "the pandemic" or "demographic change" requires more granular, within-hospital analysis than published data currently support.</w:t>
      </w:r>
    </w:p>
    <w:p w14:paraId="53282C21" w14:textId="77777777" w:rsidR="00BD3A86" w:rsidRDefault="00E934B4">
      <w:pPr>
        <w:pStyle w:val="FirstParagraph"/>
      </w:pPr>
      <w:r>
        <w:t xml:space="preserve">A weaker fourth: </w:t>
      </w:r>
      <w:r>
        <w:rPr>
          <w:b/>
          <w:bCs/>
        </w:rPr>
        <w:t>ownership matters for trajectories, not just levels</w:t>
      </w:r>
      <w:r>
        <w:t xml:space="preserve"> — for-profit and non-profit hospitals declined more than government. Worth a sentence; not the policy headline.</w:t>
      </w:r>
    </w:p>
    <w:p w14:paraId="53282C22" w14:textId="77777777" w:rsidR="00BD3A86" w:rsidRDefault="00E934B4">
      <w:r>
        <w:pict w14:anchorId="53282C3A">
          <v:rect id="_x0000_i1028" style="width:0;height:1.5pt" o:hralign="center" o:hrstd="t" o:hr="t"/>
        </w:pict>
      </w:r>
    </w:p>
    <w:p w14:paraId="53282C23" w14:textId="77777777" w:rsidR="00BD3A86" w:rsidRDefault="00E934B4">
      <w:pPr>
        <w:pStyle w:val="Heading2"/>
      </w:pPr>
      <w:bookmarkStart w:id="11" w:name="X234a06bc2eb223a5e8a81224b1fd9967f1bd33a"/>
      <w:bookmarkEnd w:id="7"/>
      <w:bookmarkEnd w:id="10"/>
      <w:r>
        <w:t>4. Scope decisions (what we are NOT doing)</w:t>
      </w:r>
    </w:p>
    <w:p w14:paraId="53282C24" w14:textId="77777777" w:rsidR="00BD3A86" w:rsidRDefault="00E934B4">
      <w:pPr>
        <w:pStyle w:val="FirstParagraph"/>
      </w:pPr>
      <w:r>
        <w:t>To keep the paper tight and Health Affairs-ready:</w:t>
      </w:r>
    </w:p>
    <w:p w14:paraId="53282C25" w14:textId="77777777" w:rsidR="00BD3A86" w:rsidRDefault="00E934B4">
      <w:pPr>
        <w:pStyle w:val="Compact"/>
        <w:numPr>
          <w:ilvl w:val="0"/>
          <w:numId w:val="9"/>
        </w:numPr>
      </w:pPr>
      <w:r>
        <w:rPr>
          <w:b/>
          <w:bCs/>
        </w:rPr>
        <w:t>Not</w:t>
      </w:r>
      <w:r>
        <w:t xml:space="preserve"> analyzing all 10 HCAHPS sub-domain ratings. Overall star rating is the dependent variable; sub-ratings appear only as covariates in some specifications.</w:t>
      </w:r>
    </w:p>
    <w:p w14:paraId="53282C26" w14:textId="77777777" w:rsidR="00BD3A86" w:rsidRDefault="00E934B4">
      <w:pPr>
        <w:pStyle w:val="Compact"/>
        <w:numPr>
          <w:ilvl w:val="0"/>
          <w:numId w:val="9"/>
        </w:numPr>
      </w:pPr>
      <w:r>
        <w:rPr>
          <w:b/>
          <w:bCs/>
        </w:rPr>
        <w:t>Not</w:t>
      </w:r>
      <w:r>
        <w:t xml:space="preserve"> examining intra-pandemic dynamics (Elliott 2023 already covers this).</w:t>
      </w:r>
    </w:p>
    <w:p w14:paraId="53282C27" w14:textId="77777777" w:rsidR="00BD3A86" w:rsidRDefault="00E934B4">
      <w:pPr>
        <w:pStyle w:val="Compact"/>
        <w:numPr>
          <w:ilvl w:val="0"/>
          <w:numId w:val="9"/>
        </w:numPr>
      </w:pPr>
      <w:r>
        <w:rPr>
          <w:b/>
          <w:bCs/>
        </w:rPr>
        <w:t>Not</w:t>
      </w:r>
      <w:r>
        <w:t xml:space="preserve"> modeling hospital fixed effects beyond the change-score specification (the change model is already a first-difference).</w:t>
      </w:r>
    </w:p>
    <w:p w14:paraId="53282C28" w14:textId="77777777" w:rsidR="00BD3A86" w:rsidRDefault="00E934B4">
      <w:pPr>
        <w:pStyle w:val="Compact"/>
        <w:numPr>
          <w:ilvl w:val="0"/>
          <w:numId w:val="9"/>
        </w:numPr>
      </w:pPr>
      <w:r>
        <w:rPr>
          <w:b/>
          <w:bCs/>
        </w:rPr>
        <w:t>Not</w:t>
      </w:r>
      <w:r>
        <w:t xml:space="preserve"> building a causal claim about what </w:t>
      </w:r>
      <w:r>
        <w:rPr>
          <w:i/>
          <w:iCs/>
        </w:rPr>
        <w:t>caused</w:t>
      </w:r>
      <w:r>
        <w:t xml:space="preserve"> the decline. The framing is associational and decomposition-based.</w:t>
      </w:r>
    </w:p>
    <w:p w14:paraId="53282C29" w14:textId="77777777" w:rsidR="00BD3A86" w:rsidRDefault="00E934B4">
      <w:pPr>
        <w:pStyle w:val="Compact"/>
        <w:numPr>
          <w:ilvl w:val="0"/>
          <w:numId w:val="9"/>
        </w:numPr>
      </w:pPr>
      <w:r>
        <w:rPr>
          <w:b/>
          <w:bCs/>
        </w:rPr>
        <w:t>Not</w:t>
      </w:r>
      <w:r>
        <w:t xml:space="preserve"> including HCAHPS Star Ratings methodology critique as primary content — Gettel 2024 already does this; we cite it.</w:t>
      </w:r>
    </w:p>
    <w:p w14:paraId="53282C2A" w14:textId="77777777" w:rsidR="00BD3A86" w:rsidRDefault="00E934B4">
      <w:r>
        <w:pict w14:anchorId="53282C3B">
          <v:rect id="_x0000_i1029" style="width:0;height:1.5pt" o:hralign="center" o:hrstd="t" o:hr="t"/>
        </w:pict>
      </w:r>
    </w:p>
    <w:p w14:paraId="53282C2B" w14:textId="77777777" w:rsidR="00BD3A86" w:rsidRDefault="00E934B4">
      <w:pPr>
        <w:pStyle w:val="Heading2"/>
      </w:pPr>
      <w:bookmarkStart w:id="12" w:name="Xa3335f748edc19381902c877b31544fae767773"/>
      <w:bookmarkEnd w:id="11"/>
      <w:r>
        <w:lastRenderedPageBreak/>
        <w:t>5. Open framing questions for alignment</w:t>
      </w:r>
    </w:p>
    <w:p w14:paraId="53282C2C" w14:textId="77777777" w:rsidR="00BD3A86" w:rsidRDefault="00E934B4">
      <w:pPr>
        <w:pStyle w:val="FirstParagraph"/>
      </w:pPr>
      <w:r>
        <w:t xml:space="preserve">Before we outline, I'd like </w:t>
      </w:r>
      <w:proofErr w:type="gramStart"/>
      <w:r>
        <w:t>your</w:t>
      </w:r>
      <w:proofErr w:type="gramEnd"/>
      <w:r>
        <w:t xml:space="preserve"> </w:t>
      </w:r>
      <w:proofErr w:type="gramStart"/>
      <w:r>
        <w:t>read</w:t>
      </w:r>
      <w:proofErr w:type="gramEnd"/>
      <w:r>
        <w:t xml:space="preserve"> on these:</w:t>
      </w:r>
    </w:p>
    <w:p w14:paraId="53282C2D" w14:textId="77777777" w:rsidR="00BD3A86" w:rsidRDefault="00E934B4">
      <w:pPr>
        <w:numPr>
          <w:ilvl w:val="0"/>
          <w:numId w:val="10"/>
        </w:numPr>
      </w:pPr>
      <w:r>
        <w:rPr>
          <w:b/>
          <w:bCs/>
        </w:rPr>
        <w:t>Headline sentence</w:t>
      </w:r>
      <w:r>
        <w:t xml:space="preserve"> — would you prefer the framing to lead with:</w:t>
      </w:r>
    </w:p>
    <w:p w14:paraId="53282C2E" w14:textId="77777777" w:rsidR="00BD3A86" w:rsidRDefault="00E934B4">
      <w:pPr>
        <w:pStyle w:val="Compact"/>
        <w:numPr>
          <w:ilvl w:val="1"/>
          <w:numId w:val="11"/>
        </w:numPr>
      </w:pPr>
      <w:r>
        <w:rPr>
          <w:b/>
          <w:bCs/>
        </w:rPr>
        <w:t>(a) Methodological asymmetry</w:t>
      </w:r>
      <w:r>
        <w:t>: "Community context explains hospital star-rating levels but not changes" — the cleanest novel claim.</w:t>
      </w:r>
    </w:p>
    <w:p w14:paraId="53282C2F" w14:textId="77777777" w:rsidR="00BD3A86" w:rsidRDefault="00E934B4">
      <w:pPr>
        <w:pStyle w:val="Compact"/>
        <w:numPr>
          <w:ilvl w:val="1"/>
          <w:numId w:val="11"/>
        </w:numPr>
      </w:pPr>
      <w:r>
        <w:rPr>
          <w:b/>
          <w:bCs/>
        </w:rPr>
        <w:t>(b) Policy-forward</w:t>
      </w:r>
      <w:r>
        <w:t>: "Star ratings systematically penalize structurally disadvantaged hospitals; a national rating decline cannot be explained by community change" — packs both contributions but is busier.</w:t>
      </w:r>
    </w:p>
    <w:p w14:paraId="53282C30" w14:textId="77777777" w:rsidR="00BD3A86" w:rsidRDefault="00E934B4">
      <w:pPr>
        <w:pStyle w:val="Compact"/>
        <w:numPr>
          <w:ilvl w:val="1"/>
          <w:numId w:val="11"/>
        </w:numPr>
      </w:pPr>
      <w:r>
        <w:rPr>
          <w:b/>
          <w:bCs/>
        </w:rPr>
        <w:t>(c) Rural-forward</w:t>
      </w:r>
      <w:r>
        <w:t xml:space="preserve">: "Rural hospitals lead and are widening the patient-experience </w:t>
      </w:r>
      <w:proofErr w:type="gramStart"/>
      <w:r>
        <w:t>gap" —</w:t>
      </w:r>
      <w:proofErr w:type="gramEnd"/>
      <w:r>
        <w:t xml:space="preserve"> </w:t>
      </w:r>
      <w:commentRangeStart w:id="13"/>
      <w:r>
        <w:t>narrower but most striking single message.</w:t>
      </w:r>
      <w:commentRangeEnd w:id="13"/>
      <w:r w:rsidR="00F91584">
        <w:rPr>
          <w:rStyle w:val="CommentReference"/>
        </w:rPr>
        <w:commentReference w:id="13"/>
      </w:r>
    </w:p>
    <w:p w14:paraId="53282C31" w14:textId="77777777" w:rsidR="00BD3A86" w:rsidRDefault="00E934B4">
      <w:pPr>
        <w:numPr>
          <w:ilvl w:val="0"/>
          <w:numId w:val="10"/>
        </w:numPr>
      </w:pPr>
      <w:r>
        <w:rPr>
          <w:b/>
          <w:bCs/>
        </w:rPr>
        <w:t>How prominent should the COVID story be?</w:t>
      </w:r>
      <w:r>
        <w:t xml:space="preserve"> We're not the first to document the decline (Elliott 2023, Beckett 2025). Three options:</w:t>
      </w:r>
    </w:p>
    <w:p w14:paraId="53282C32" w14:textId="77777777" w:rsidR="00BD3A86" w:rsidRDefault="00E934B4">
      <w:pPr>
        <w:pStyle w:val="Compact"/>
        <w:numPr>
          <w:ilvl w:val="1"/>
          <w:numId w:val="12"/>
        </w:numPr>
      </w:pPr>
      <w:r>
        <w:t>Foreground it as the empirical motivation, then pivot to our decomposition.</w:t>
      </w:r>
    </w:p>
    <w:p w14:paraId="53282C33" w14:textId="77777777" w:rsidR="00BD3A86" w:rsidRDefault="00E934B4">
      <w:pPr>
        <w:pStyle w:val="Compact"/>
        <w:numPr>
          <w:ilvl w:val="1"/>
          <w:numId w:val="12"/>
        </w:numPr>
      </w:pPr>
      <w:r>
        <w:t xml:space="preserve">Mention it briefly and lead with the levels-vs-change </w:t>
      </w:r>
      <w:commentRangeStart w:id="14"/>
      <w:r>
        <w:t>finding</w:t>
      </w:r>
      <w:commentRangeEnd w:id="14"/>
      <w:r w:rsidR="00C9464D">
        <w:rPr>
          <w:rStyle w:val="CommentReference"/>
        </w:rPr>
        <w:commentReference w:id="14"/>
      </w:r>
      <w:r>
        <w:t>.</w:t>
      </w:r>
    </w:p>
    <w:p w14:paraId="53282C34" w14:textId="77777777" w:rsidR="00BD3A86" w:rsidRDefault="00E934B4">
      <w:pPr>
        <w:pStyle w:val="Compact"/>
        <w:numPr>
          <w:ilvl w:val="1"/>
          <w:numId w:val="12"/>
        </w:numPr>
      </w:pPr>
      <w:r>
        <w:t>Treat it as backdrop only.</w:t>
      </w:r>
    </w:p>
    <w:p w14:paraId="53282C35" w14:textId="77777777" w:rsidR="00BD3A86" w:rsidRDefault="00E934B4">
      <w:pPr>
        <w:numPr>
          <w:ilvl w:val="0"/>
          <w:numId w:val="10"/>
        </w:numPr>
      </w:pPr>
      <w:r>
        <w:rPr>
          <w:b/>
          <w:bCs/>
        </w:rPr>
        <w:t>Should the maps be a primary exhibit or relegated to appendix?</w:t>
      </w:r>
      <w:r>
        <w:t xml:space="preserve"> They're descriptive, not analytic; Health Affairs likes visual evidence but is exhibit-constrained.</w:t>
      </w:r>
    </w:p>
    <w:p w14:paraId="53282C36" w14:textId="77777777" w:rsidR="00BD3A86" w:rsidRDefault="00E934B4">
      <w:pPr>
        <w:pStyle w:val="FirstParagraph"/>
      </w:pPr>
      <w:r>
        <w:t>Once these are settled, I'll draft the manuscript outline (IMRaD adapted to Health Affairs format).</w:t>
      </w:r>
      <w:bookmarkEnd w:id="0"/>
      <w:bookmarkEnd w:id="12"/>
    </w:p>
    <w:p w14:paraId="1F01B8CC" w14:textId="77777777" w:rsidR="009E1D67" w:rsidRDefault="009E1D67" w:rsidP="009E1D67">
      <w:pPr>
        <w:pStyle w:val="BodyText"/>
      </w:pPr>
    </w:p>
    <w:p w14:paraId="4D0E20DC" w14:textId="53D01B4D" w:rsidR="009E1D67" w:rsidRDefault="00E934B4" w:rsidP="009E1D67">
      <w:pPr>
        <w:pStyle w:val="BodyText"/>
      </w:pPr>
      <w:r w:rsidRPr="00E934B4">
        <w:t xml:space="preserve">ok! sure! </w:t>
      </w:r>
      <w:proofErr w:type="gramStart"/>
      <w:r w:rsidRPr="00E934B4">
        <w:t>so</w:t>
      </w:r>
      <w:proofErr w:type="gramEnd"/>
      <w:r w:rsidRPr="00E934B4">
        <w:t xml:space="preserve"> the focus of my version is "how little sociodemographic characteristics can explain the changes in the satisfaction over time", while those </w:t>
      </w:r>
      <w:proofErr w:type="gramStart"/>
      <w:r w:rsidRPr="00E934B4">
        <w:t>chars</w:t>
      </w:r>
      <w:proofErr w:type="gramEnd"/>
      <w:r w:rsidRPr="00E934B4">
        <w:t xml:space="preserve"> would explain a lot on the level </w:t>
      </w:r>
    </w:p>
    <w:p w14:paraId="61EF63FB" w14:textId="77777777" w:rsidR="00E934B4" w:rsidRPr="00E934B4" w:rsidRDefault="00E934B4" w:rsidP="00E934B4">
      <w:pPr>
        <w:pStyle w:val="BodyText"/>
      </w:pPr>
      <w:r w:rsidRPr="00E934B4">
        <w:t xml:space="preserve">and only a few things </w:t>
      </w:r>
      <w:proofErr w:type="gramStart"/>
      <w:r w:rsidRPr="00E934B4">
        <w:t>was</w:t>
      </w:r>
      <w:proofErr w:type="gramEnd"/>
      <w:r w:rsidRPr="00E934B4">
        <w:t xml:space="preserve"> the strong predictor of the </w:t>
      </w:r>
      <w:proofErr w:type="gramStart"/>
      <w:r w:rsidRPr="00E934B4">
        <w:t>change ;</w:t>
      </w:r>
      <w:proofErr w:type="gramEnd"/>
      <w:r w:rsidRPr="00E934B4">
        <w:t xml:space="preserve"> one of which was the time during the ED visit</w:t>
      </w:r>
    </w:p>
    <w:p w14:paraId="37DB7824" w14:textId="77777777" w:rsidR="00E934B4" w:rsidRPr="00E934B4" w:rsidRDefault="00E934B4" w:rsidP="00E934B4">
      <w:pPr>
        <w:pStyle w:val="BodyText"/>
      </w:pPr>
      <w:proofErr w:type="gramStart"/>
      <w:r w:rsidRPr="00E934B4">
        <w:t>so</w:t>
      </w:r>
      <w:proofErr w:type="gramEnd"/>
      <w:r w:rsidRPr="00E934B4">
        <w:t xml:space="preserve"> </w:t>
      </w:r>
      <w:proofErr w:type="spellStart"/>
      <w:r w:rsidRPr="00E934B4">
        <w:t>enveironment</w:t>
      </w:r>
      <w:proofErr w:type="spellEnd"/>
      <w:r w:rsidRPr="00E934B4">
        <w:t xml:space="preserve"> can explain how the rating could be (which is bad news for incentive program), but hospital-specific </w:t>
      </w:r>
      <w:proofErr w:type="gramStart"/>
      <w:r w:rsidRPr="00E934B4">
        <w:t>factor</w:t>
      </w:r>
      <w:proofErr w:type="gramEnd"/>
      <w:r w:rsidRPr="00E934B4">
        <w:t xml:space="preserve"> could influence the change, which might be a good sign for </w:t>
      </w:r>
      <w:proofErr w:type="gramStart"/>
      <w:r w:rsidRPr="00E934B4">
        <w:t>hospital</w:t>
      </w:r>
      <w:proofErr w:type="gramEnd"/>
      <w:r w:rsidRPr="00E934B4">
        <w:t xml:space="preserve"> because they can control that and change that </w:t>
      </w:r>
    </w:p>
    <w:p w14:paraId="282E9B6D" w14:textId="77777777" w:rsidR="00E934B4" w:rsidRPr="009E1D67" w:rsidRDefault="00E934B4" w:rsidP="009E1D67">
      <w:pPr>
        <w:pStyle w:val="BodyText"/>
      </w:pPr>
    </w:p>
    <w:sectPr w:rsidR="00E934B4" w:rsidRPr="009E1D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Sato, Ryoko" w:date="2026-05-01T13:20:00Z" w:initials="RS">
    <w:p w14:paraId="0892D04B" w14:textId="77777777" w:rsidR="00F91584" w:rsidRDefault="00F91584" w:rsidP="00F91584">
      <w:pPr>
        <w:pStyle w:val="CommentText"/>
      </w:pPr>
      <w:r>
        <w:rPr>
          <w:rStyle w:val="CommentReference"/>
        </w:rPr>
        <w:annotationRef/>
      </w:r>
      <w:r>
        <w:t xml:space="preserve">Not sure if this is the most striking single message. </w:t>
      </w:r>
    </w:p>
    <w:p w14:paraId="458AA591" w14:textId="77777777" w:rsidR="00F91584" w:rsidRDefault="00F91584" w:rsidP="00F91584">
      <w:pPr>
        <w:pStyle w:val="CommentText"/>
      </w:pPr>
      <w:r>
        <w:t>(at least I did not frame this finding like that in the draft for now)</w:t>
      </w:r>
    </w:p>
  </w:comment>
  <w:comment w:id="14" w:author="Sato, Ryoko" w:date="2026-05-01T13:21:00Z" w:initials="RS">
    <w:p w14:paraId="1780F0B2" w14:textId="77777777" w:rsidR="00C9464D" w:rsidRDefault="00C9464D" w:rsidP="00C9464D">
      <w:pPr>
        <w:pStyle w:val="CommentText"/>
      </w:pPr>
      <w:r>
        <w:rPr>
          <w:rStyle w:val="CommentReference"/>
        </w:rPr>
        <w:annotationRef/>
      </w:r>
      <w:r>
        <w:t>Maybe the 2</w:t>
      </w:r>
      <w:r>
        <w:rPr>
          <w:vertAlign w:val="superscript"/>
        </w:rPr>
        <w:t>nd</w:t>
      </w:r>
      <w:r>
        <w:t xml:space="preserve"> option?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8AA591" w15:done="0"/>
  <w15:commentEx w15:paraId="1780F0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81C0BC" w16cex:dateUtc="2026-05-01T17:20:00Z"/>
  <w16cex:commentExtensible w16cex:durableId="7BF715B1" w16cex:dateUtc="2026-05-01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8AA591" w16cid:durableId="1E81C0BC"/>
  <w16cid:commentId w16cid:paraId="1780F0B2" w16cid:durableId="7BF715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83C4" w14:textId="77777777" w:rsidR="009E43F2" w:rsidRDefault="009E43F2" w:rsidP="00F91584">
      <w:pPr>
        <w:spacing w:after="0"/>
      </w:pPr>
      <w:r>
        <w:separator/>
      </w:r>
    </w:p>
  </w:endnote>
  <w:endnote w:type="continuationSeparator" w:id="0">
    <w:p w14:paraId="03F894C6" w14:textId="77777777" w:rsidR="009E43F2" w:rsidRDefault="009E43F2" w:rsidP="00F915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E33C" w14:textId="77777777" w:rsidR="009E43F2" w:rsidRDefault="009E43F2" w:rsidP="00F91584">
      <w:pPr>
        <w:spacing w:after="0"/>
      </w:pPr>
      <w:r>
        <w:separator/>
      </w:r>
    </w:p>
  </w:footnote>
  <w:footnote w:type="continuationSeparator" w:id="0">
    <w:p w14:paraId="3F52BD68" w14:textId="77777777" w:rsidR="009E43F2" w:rsidRDefault="009E43F2" w:rsidP="00F915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4EF1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8628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B4C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3413416">
    <w:abstractNumId w:val="0"/>
  </w:num>
  <w:num w:numId="2" w16cid:durableId="1502353756">
    <w:abstractNumId w:val="1"/>
  </w:num>
  <w:num w:numId="3" w16cid:durableId="1635673705">
    <w:abstractNumId w:val="1"/>
  </w:num>
  <w:num w:numId="4" w16cid:durableId="810053353">
    <w:abstractNumId w:val="1"/>
  </w:num>
  <w:num w:numId="5" w16cid:durableId="1833985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087512">
    <w:abstractNumId w:val="1"/>
  </w:num>
  <w:num w:numId="7" w16cid:durableId="1373573551">
    <w:abstractNumId w:val="1"/>
  </w:num>
  <w:num w:numId="8" w16cid:durableId="1551382496">
    <w:abstractNumId w:val="1"/>
  </w:num>
  <w:num w:numId="9" w16cid:durableId="1024356283">
    <w:abstractNumId w:val="1"/>
  </w:num>
  <w:num w:numId="10" w16cid:durableId="1540505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88970308">
    <w:abstractNumId w:val="1"/>
  </w:num>
  <w:num w:numId="12" w16cid:durableId="9315472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to, Ryoko">
    <w15:presenceInfo w15:providerId="AD" w15:userId="S::ryoko.sato@siemens-healthineers.com::d3e6210c-22f7-4303-9e7f-fd935a95cd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5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A86"/>
    <w:rsid w:val="00346E69"/>
    <w:rsid w:val="006C6989"/>
    <w:rsid w:val="009E1D67"/>
    <w:rsid w:val="009E43F2"/>
    <w:rsid w:val="00BD3A86"/>
    <w:rsid w:val="00C9464D"/>
    <w:rsid w:val="00E45BC0"/>
    <w:rsid w:val="00E934B4"/>
    <w:rsid w:val="00F9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53282BE3"/>
  <w15:docId w15:val="{BCE38994-1E66-49E8-8963-0C267B27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9158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91584"/>
  </w:style>
  <w:style w:type="paragraph" w:styleId="Footer">
    <w:name w:val="footer"/>
    <w:basedOn w:val="Normal"/>
    <w:link w:val="FooterChar"/>
    <w:rsid w:val="00F9158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91584"/>
  </w:style>
  <w:style w:type="character" w:styleId="CommentReference">
    <w:name w:val="annotation reference"/>
    <w:basedOn w:val="DefaultParagraphFont"/>
    <w:rsid w:val="00F9158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9158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915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915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915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Kao, Zoe</cp:lastModifiedBy>
  <cp:revision>6</cp:revision>
  <dcterms:created xsi:type="dcterms:W3CDTF">2026-05-01T14:59:00Z</dcterms:created>
  <dcterms:modified xsi:type="dcterms:W3CDTF">2026-05-01T19:40:00Z</dcterms:modified>
</cp:coreProperties>
</file>