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889472d78fb1565cec0efc33a1511607f06baaa"/>
    <w:p>
      <w:pPr>
        <w:pStyle w:val="Heading1"/>
      </w:pPr>
      <w:r>
        <w:t xml:space="preserve">Reference research — HCAHPS overall star ratings 2017 vs 2024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2026-05-01</w:t>
      </w:r>
      <w:r>
        <w:t xml:space="preserve"> </w:t>
      </w:r>
      <w:r>
        <w:rPr>
          <w:b/>
          <w:bCs/>
        </w:rPr>
        <w:t xml:space="preserve">Target journal:</w:t>
      </w:r>
      <w:r>
        <w:t xml:space="preserve"> </w:t>
      </w:r>
      <w:r>
        <w:t xml:space="preserve">Health Affairs (policy-forward); JAMA Health Forum and Health Affairs Scholar as alternates</w:t>
      </w:r>
    </w:p>
    <w:p>
      <w:r>
        <w:pict>
          <v:rect style="width:0;height:1.5pt" o:hralign="center" o:hrstd="t" o:hr="t"/>
        </w:pict>
      </w:r>
    </w:p>
    <w:bookmarkStart w:id="9" w:name="gap-statement-after-literature-review"/>
    <w:p>
      <w:pPr>
        <w:pStyle w:val="Heading2"/>
      </w:pPr>
      <w:r>
        <w:t xml:space="preserve">Gap statement after literature review</w:t>
      </w:r>
    </w:p>
    <w:p>
      <w:pPr>
        <w:pStyle w:val="FirstParagraph"/>
      </w:pPr>
      <w:r>
        <w:t xml:space="preserve">Hospital-level analyses of HCAHPS exist in two main forms: (a) cross-sectional determinant studies linking ratings to hospital and community characteristics, and (b) longitudinal description of national trends, especially the COVID-era decline.</w:t>
      </w:r>
      <w:r>
        <w:t xml:space="preserve"> </w:t>
      </w:r>
      <w:r>
        <w:rPr>
          <w:b/>
          <w:bCs/>
        </w:rPr>
        <w:t xml:space="preserve">No identified study models hospital-level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change</w:t>
      </w:r>
      <w:r>
        <w:rPr>
          <w:b/>
          <w:bCs/>
        </w:rPr>
        <w:t xml:space="preserve"> </w:t>
      </w:r>
      <w:r>
        <w:rPr>
          <w:b/>
          <w:bCs/>
        </w:rPr>
        <w:t xml:space="preserve">in overall star ratings between 2017 and 2024 with joint hospital, operational, and community-level covariates.</w:t>
      </w:r>
      <w:r>
        <w:t xml:space="preserve"> </w:t>
      </w:r>
      <w:r>
        <w:t xml:space="preserve">The closest prior work — Herrin et al. (2018) on community factors and Elliott/Beckett et al. (2023, 2025) on COVID-era trends — does not decompose levels-vs-change at the hospital level.</w:t>
      </w:r>
    </w:p>
    <w:p>
      <w:r>
        <w:pict>
          <v:rect style="width:0;height:1.5pt" o:hralign="center" o:hrstd="t" o:hr="t"/>
        </w:pict>
      </w:r>
    </w:p>
    <w:bookmarkEnd w:id="9"/>
    <w:bookmarkStart w:id="35" w:name="reference-table"/>
    <w:p>
      <w:pPr>
        <w:pStyle w:val="Heading2"/>
      </w:pPr>
      <w:r>
        <w:t xml:space="preserve">Reference table</w:t>
      </w:r>
    </w:p>
    <w:p>
      <w:pPr>
        <w:pStyle w:val="FirstParagraph"/>
      </w:pPr>
      <w:r>
        <w:t xml:space="preserve">★ = anchor citation. Sorted thematically; within each section, by relevance.</w:t>
      </w:r>
    </w:p>
    <w:bookmarkStart w:id="14" w:name="X5ceb8b652af5af3991c04e06906875d5067ad11"/>
    <w:p>
      <w:pPr>
        <w:pStyle w:val="Heading3"/>
      </w:pPr>
      <w:r>
        <w:t xml:space="preserve">Foundational reviews and the COVID-era trend literature (closest comparators)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First author et al., year</w:t>
            </w:r>
          </w:p>
        </w:tc>
        <w:tc>
          <w:tcPr/>
          <w:p>
            <w:pPr>
              <w:pStyle w:val="Compact"/>
            </w:pPr>
            <w: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t xml:space="preserve">Study summary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Elliott MN et al., 2023</w:t>
            </w:r>
          </w:p>
        </w:tc>
        <w:tc>
          <w:tcPr/>
          <w:p>
            <w:pPr>
              <w:pStyle w:val="Compact"/>
            </w:pPr>
            <w:r>
              <w:t xml:space="preserve">Changes in Patient Experiences of Hospital Care During the COVID-19 Pandemic</w:t>
            </w:r>
          </w:p>
        </w:tc>
        <w:tc>
          <w:tcPr/>
          <w:p>
            <w:pPr>
              <w:pStyle w:val="Compact"/>
            </w:pPr>
            <w:r>
              <w:t xml:space="preserve">Cohort of 3.9M HCAHPS respondents from 3,381 hospitals comparing 2020–21 vs 2018–19. Summary scores fell from −1.2 pp (Q2 2020) to −3.6 pp (Q4 2021); largest declines in staff responsiveness (−5.6 pp) and cleanliness (−4.9 pp). Hospitals with the lowest pre-pandemic staffing and quality showed the steepest drops.</w:t>
            </w:r>
            <w:r>
              <w:t xml:space="preserve"> </w:t>
            </w:r>
            <w:r>
              <w:rPr>
                <w:b/>
                <w:bCs/>
              </w:rPr>
              <w:t xml:space="preserve">Primary comparator — describes the decline you measure but ends in 2021.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10.1001/jamahealthforum.2023.2766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★ Beckett MK et al., 2025</w:t>
            </w:r>
          </w:p>
        </w:tc>
        <w:tc>
          <w:tcPr/>
          <w:p>
            <w:pPr>
              <w:pStyle w:val="Compact"/>
            </w:pPr>
            <w:r>
              <w:t xml:space="preserve">Hospital Patient Experience Worsened With the COVID-19 Pandemic, Especially for Older Adults, and Remains Worse than Before</w:t>
            </w:r>
          </w:p>
        </w:tc>
        <w:tc>
          <w:tcPr/>
          <w:p>
            <w:pPr>
              <w:pStyle w:val="Compact"/>
            </w:pPr>
            <w:r>
              <w:t xml:space="preserve">Extends Elliott 2023. HCAHPS-SS declined 4.1 pp by Q3 2022, recovering only slightly to −3.5 pp by Q4 2023. Worst declines for patients 75+.</w:t>
            </w:r>
            <w:r>
              <w:t xml:space="preserve"> </w:t>
            </w:r>
            <w:r>
              <w:rPr>
                <w:b/>
                <w:bCs/>
              </w:rPr>
              <w:t xml:space="preserve">Confirms the decline persists; your 2024 endpoint is a natural follow-up that adds covariate-driven explanation.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10.1177/10775587251349053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Beckett MK et al., 2024</w:t>
            </w:r>
          </w:p>
        </w:tc>
        <w:tc>
          <w:tcPr/>
          <w:p>
            <w:pPr>
              <w:pStyle w:val="Compact"/>
            </w:pPr>
            <w:r>
              <w:t xml:space="preserve">Trends in HCAHPS Survey Scores, 2008–2019: A Quality Improvement Perspective</w:t>
            </w:r>
          </w:p>
        </w:tc>
        <w:tc>
          <w:tcPr/>
          <w:p>
            <w:pPr>
              <w:pStyle w:val="Compact"/>
            </w:pPr>
            <w:r>
              <w:t xml:space="preserve">Pre-COVID trends across three policy phases (initial public reporting, VBP, Star Ratings). Largest improvements 2008–13; slower thereafter; some measures plateaued by 2019.</w:t>
            </w:r>
            <w:r>
              <w:t xml:space="preserve"> </w:t>
            </w:r>
            <w:r>
              <w:rPr>
                <w:b/>
                <w:bCs/>
              </w:rPr>
              <w:t xml:space="preserve">Establishes the flat-to-improving baseline that the post-2017 decline reverses.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10.1097/MLR.0000000000002001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Beckett MK et al., 2024</w:t>
            </w:r>
          </w:p>
        </w:tc>
        <w:tc>
          <w:tcPr/>
          <w:p>
            <w:pPr>
              <w:pStyle w:val="Compact"/>
            </w:pPr>
            <w:r>
              <w:t xml:space="preserve">Interventions and Hospital Characteristics Associated With Patient Experience: An Update of the Evidence</w:t>
            </w:r>
          </w:p>
        </w:tc>
        <w:tc>
          <w:tcPr/>
          <w:p>
            <w:pPr>
              <w:pStyle w:val="Compact"/>
            </w:pPr>
            <w:r>
              <w:t xml:space="preserve">Comprehensive review synthesizing what hospital interventions and structural characteristics predict HCAHPS performance.</w:t>
            </w:r>
            <w:r>
              <w:t xml:space="preserve"> </w:t>
            </w:r>
            <w:r>
              <w:rPr>
                <w:b/>
                <w:bCs/>
              </w:rPr>
              <w:t xml:space="preserve">Anchor citation for "what predicts HCAHPS levels."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10.1177/10775587231223292</w:t>
              </w:r>
            </w:hyperlink>
          </w:p>
        </w:tc>
      </w:tr>
    </w:tbl>
    <w:bookmarkEnd w:id="14"/>
    <w:bookmarkStart w:id="18" w:name="X1071f90ffad360c5c9b822166bc004cc068c986"/>
    <w:p>
      <w:pPr>
        <w:pStyle w:val="Heading3"/>
      </w:pPr>
      <w:r>
        <w:t xml:space="preserve">Community context, patient mix, and risk adjustment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First author et al., year</w:t>
            </w:r>
          </w:p>
        </w:tc>
        <w:tc>
          <w:tcPr/>
          <w:p>
            <w:pPr>
              <w:pStyle w:val="Compact"/>
            </w:pPr>
            <w: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t xml:space="preserve">Study summary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Herrin J, Mockaitis KG, Hines S, 2018</w:t>
            </w:r>
          </w:p>
        </w:tc>
        <w:tc>
          <w:tcPr/>
          <w:p>
            <w:pPr>
              <w:pStyle w:val="Compact"/>
            </w:pPr>
            <w:r>
              <w:t xml:space="preserve">HCAHPS Scores and Community Factors</w:t>
            </w:r>
          </w:p>
        </w:tc>
        <w:tc>
          <w:tcPr/>
          <w:p>
            <w:pPr>
              <w:pStyle w:val="Compact"/>
            </w:pPr>
            <w:r>
              <w:t xml:space="preserve">Cross-sectional analysis linking county-level community characteristics to HCAHPS. Higher PCP density predicts higher HCAHPS; higher specialist density and larger %Black / %Hispanic populations predict lower HCAHPS.</w:t>
            </w:r>
            <w:r>
              <w:t xml:space="preserve"> </w:t>
            </w:r>
            <w:r>
              <w:rPr>
                <w:b/>
                <w:bCs/>
              </w:rPr>
              <w:t xml:space="preserve">Closest design analog to yours — your panel design extends this cross-section over time.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10.1177/1062860618765977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Elliott MN et al., 2025</w:t>
            </w:r>
          </w:p>
        </w:tc>
        <w:tc>
          <w:tcPr/>
          <w:p>
            <w:pPr>
              <w:pStyle w:val="Compact"/>
            </w:pPr>
            <w:r>
              <w:t xml:space="preserve">Updated Adjustment of the HCAHPS Survey for New Modes of Survey Administration and Patient Mix</w:t>
            </w:r>
          </w:p>
        </w:tc>
        <w:tc>
          <w:tcPr/>
          <w:p>
            <w:pPr>
              <w:pStyle w:val="Compact"/>
            </w:pPr>
            <w:r>
              <w:t xml:space="preserve">Most recent CMS patient-mix adjustment update. Adjusts for individual-level characteristics (age, education, language, self-rated health, planned vs unplanned stay, survey mode) — but not community context.</w:t>
            </w:r>
            <w:r>
              <w:t xml:space="preserve"> </w:t>
            </w:r>
            <w:r>
              <w:rPr>
                <w:b/>
                <w:bCs/>
              </w:rPr>
              <w:t xml:space="preserve">Use to show that CMS does not adjust for community context, leaving room for your contribution.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10.1097/MLR.0000000000002127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National Academies of Sciences, Engineering, and Medicine, 2016</w:t>
            </w:r>
          </w:p>
        </w:tc>
        <w:tc>
          <w:tcPr/>
          <w:p>
            <w:pPr>
              <w:pStyle w:val="Compact"/>
            </w:pPr>
            <w:r>
              <w:t xml:space="preserve">Accounting for Social Risk Factors in Medicare Payment: Criteria, Factors, and Methods</w:t>
            </w:r>
          </w:p>
        </w:tc>
        <w:tc>
          <w:tcPr/>
          <w:p>
            <w:pPr>
              <w:pStyle w:val="Compact"/>
            </w:pPr>
            <w:r>
              <w:t xml:space="preserve">Third report in a 5-volume series; foundational policy framework on whether and how to adjust Medicare quality measures for social risk (socioeconomic position, race/ethnicity, social relationships, residential context).</w:t>
            </w:r>
            <w:r>
              <w:t xml:space="preserve"> </w:t>
            </w:r>
            <w:r>
              <w:rPr>
                <w:b/>
                <w:bCs/>
              </w:rPr>
              <w:t xml:space="preserve">Policy backdrop for the risk-adjustment implication.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10.17226/23513</w:t>
              </w:r>
            </w:hyperlink>
          </w:p>
        </w:tc>
      </w:tr>
    </w:tbl>
    <w:bookmarkEnd w:id="18"/>
    <w:bookmarkStart w:id="21" w:name="Xe4cb84ecf14eaafe2e14ad0df82628e0da89a7b"/>
    <w:p>
      <w:pPr>
        <w:pStyle w:val="Heading3"/>
      </w:pPr>
      <w:r>
        <w:t xml:space="preserve">Star Ratings methodology and hospital-type disparities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First author et al., year</w:t>
            </w:r>
          </w:p>
        </w:tc>
        <w:tc>
          <w:tcPr/>
          <w:p>
            <w:pPr>
              <w:pStyle w:val="Compact"/>
            </w:pPr>
            <w: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t xml:space="preserve">Study summary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Gettel CJ et al., 2024</w:t>
            </w:r>
          </w:p>
        </w:tc>
        <w:tc>
          <w:tcPr/>
          <w:p>
            <w:pPr>
              <w:pStyle w:val="Compact"/>
            </w:pPr>
            <w:r>
              <w:t xml:space="preserve">Calculation of Overall Hospital Quality Star Ratings With and Without Inclusion of the Peer Grouping Step</w:t>
            </w:r>
          </w:p>
        </w:tc>
        <w:tc>
          <w:tcPr/>
          <w:p>
            <w:pPr>
              <w:pStyle w:val="Compact"/>
            </w:pPr>
            <w:r>
              <w:t xml:space="preserve">Cross-sectional study of 3,076 hospitals. Peer grouping changed the rating for 19% of hospitals (517 up, 68 down); urban, non-safety-net, and small hospitals were advantaged by peer grouping.</w:t>
            </w:r>
            <w:r>
              <w:t xml:space="preserve"> </w:t>
            </w:r>
            <w:r>
              <w:rPr>
                <w:b/>
                <w:bCs/>
              </w:rPr>
              <w:t xml:space="preserve">Methodologically illustrates how Star Ratings construction interacts with hospital characteristics — supports cautious interpretation.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10.1001/jamanetworkopen.2024.11933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Chen HC, Cates T, Taylor M, 2023</w:t>
            </w:r>
          </w:p>
        </w:tc>
        <w:tc>
          <w:tcPr/>
          <w:p>
            <w:pPr>
              <w:pStyle w:val="Compact"/>
            </w:pPr>
            <w:r>
              <w:t xml:space="preserve">The effect of patient quality measurements and HCAHPS patient satisfaction on hospital reimbursements</w:t>
            </w:r>
          </w:p>
        </w:tc>
        <w:tc>
          <w:tcPr/>
          <w:p>
            <w:pPr>
              <w:pStyle w:val="Compact"/>
            </w:pPr>
            <w:r>
              <w:t xml:space="preserve">2,297 acute-care hospitals: for-profit hospitals score lower on HCAHPS but receive higher reimbursements; ownership type is independently associated with both.</w:t>
            </w:r>
            <w:r>
              <w:t xml:space="preserve"> </w:t>
            </w:r>
            <w:r>
              <w:rPr>
                <w:b/>
                <w:bCs/>
              </w:rPr>
              <w:t xml:space="preserve">Supports the ownership coefficient interpretation.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10.3233/HSM-220042</w:t>
              </w:r>
            </w:hyperlink>
          </w:p>
        </w:tc>
      </w:tr>
    </w:tbl>
    <w:bookmarkEnd w:id="21"/>
    <w:bookmarkStart w:id="25" w:name="X02a4533ee24e005bf4a328ceda822a985db75b5"/>
    <w:p>
      <w:pPr>
        <w:pStyle w:val="Heading3"/>
      </w:pPr>
      <w:r>
        <w:t xml:space="preserve">Rural and Critical Access Hospital advantage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First author et al., year</w:t>
            </w:r>
          </w:p>
        </w:tc>
        <w:tc>
          <w:tcPr/>
          <w:p>
            <w:pPr>
              <w:pStyle w:val="Compact"/>
            </w:pPr>
            <w: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t xml:space="preserve">Study summary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Beckett MK et al., 2025</w:t>
            </w:r>
          </w:p>
        </w:tc>
        <w:tc>
          <w:tcPr/>
          <w:p>
            <w:pPr>
              <w:pStyle w:val="Compact"/>
            </w:pPr>
            <w:r>
              <w:t xml:space="preserve">Inpatient care experiences are better in critical access hospitals than in other hospitals</w:t>
            </w:r>
          </w:p>
        </w:tc>
        <w:tc>
          <w:tcPr/>
          <w:p>
            <w:pPr>
              <w:pStyle w:val="Compact"/>
            </w:pPr>
            <w:r>
              <w:t xml:space="preserve">National analysis showing CAHs outperform other hospitals on most HCAHPS domains; for-profit and teaching status predict lower CAH scores.</w:t>
            </w:r>
            <w:r>
              <w:t xml:space="preserve"> </w:t>
            </w:r>
            <w:r>
              <w:rPr>
                <w:b/>
                <w:bCs/>
              </w:rPr>
              <w:t xml:space="preserve">Published in Health Affairs Scholar (your target journal family). Strongest contemporary citation for the rural advantage.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10.1093/haschl/qxaf090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Vu et al., 2024</w:t>
            </w:r>
          </w:p>
        </w:tc>
        <w:tc>
          <w:tcPr/>
          <w:p>
            <w:pPr>
              <w:pStyle w:val="Compact"/>
            </w:pPr>
            <w:r>
              <w:t xml:space="preserve">Patient Satisfaction in Rural Versus Non-Rural US Hospitals</w:t>
            </w:r>
          </w:p>
        </w:tc>
        <w:tc>
          <w:tcPr/>
          <w:p>
            <w:pPr>
              <w:pStyle w:val="Compact"/>
            </w:pPr>
            <w:r>
              <w:t xml:space="preserve">Rural hospitals outperform urban across HCAHPS domains; possible explanations include smaller scale, lower patient expectations, and pandemic-era patient redistribution.</w:t>
            </w:r>
            <w:r>
              <w:t xml:space="preserve"> </w:t>
            </w:r>
            <w:r>
              <w:rPr>
                <w:b/>
                <w:bCs/>
              </w:rPr>
              <w:t xml:space="preserve">Primary rural-advantage source. Your contribution: rural hospitals also gained ground 2017→2024.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10.1002/puh2.219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Multisite analysis (Pennsylvania State / Geisinger), 2024</w:t>
            </w:r>
          </w:p>
        </w:tc>
        <w:tc>
          <w:tcPr/>
          <w:p>
            <w:pPr>
              <w:pStyle w:val="Compact"/>
            </w:pPr>
            <w:r>
              <w:t xml:space="preserve">Rurality and patients' hospital experience: A multisite analysis from a US healthcare system</w:t>
            </w:r>
          </w:p>
        </w:tc>
        <w:tc>
          <w:tcPr/>
          <w:p>
            <w:pPr>
              <w:pStyle w:val="Compact"/>
            </w:pPr>
            <w:r>
              <w:t xml:space="preserve">56,685 patients across 17 hospitals. Metropolitan / micropolitan / small-town patients had ~10% lower odds of favorable overall rating vs rural patients.</w:t>
            </w:r>
            <w:r>
              <w:t xml:space="preserve"> </w:t>
            </w:r>
            <w:r>
              <w:rPr>
                <w:b/>
                <w:bCs/>
              </w:rPr>
              <w:t xml:space="preserve">Patient-side counterpart to the hospital-side rural advantage — useful for reviewer questions about whether the rural effect is hospital- or patient-driven.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10.1371/journal.pone.0308564</w:t>
              </w:r>
            </w:hyperlink>
          </w:p>
        </w:tc>
      </w:tr>
    </w:tbl>
    <w:bookmarkEnd w:id="25"/>
    <w:bookmarkStart w:id="28" w:name="X8649b689bf7625c5ee92d4ac0b3cda4334951ec"/>
    <w:p>
      <w:pPr>
        <w:pStyle w:val="Heading3"/>
      </w:pPr>
      <w:r>
        <w:t xml:space="preserve">Operational drivers (nursing, ED throughput)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First author et al., year</w:t>
            </w:r>
          </w:p>
        </w:tc>
        <w:tc>
          <w:tcPr/>
          <w:p>
            <w:pPr>
              <w:pStyle w:val="Compact"/>
            </w:pPr>
            <w: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t xml:space="preserve">Study summary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Fitzpatrick Rosenbaum KE et al., 2024</w:t>
            </w:r>
          </w:p>
        </w:tc>
        <w:tc>
          <w:tcPr/>
          <w:p>
            <w:pPr>
              <w:pStyle w:val="Compact"/>
            </w:pPr>
            <w:r>
              <w:t xml:space="preserve">Hospital Performance on HCAHPS Ratings: Associations With Nursing Factors</w:t>
            </w:r>
          </w:p>
        </w:tc>
        <w:tc>
          <w:tcPr/>
          <w:p>
            <w:pPr>
              <w:pStyle w:val="Compact"/>
            </w:pPr>
            <w:r>
              <w:t xml:space="preserve">540 hospitals (CA/FL/NJ/PA), 11,786 RNs. More favorable staffing, higher % BSN-educated nurses, and better work environments all predict higher HCAHPS; work environment is the strongest predictor.</w:t>
            </w:r>
            <w:r>
              <w:t xml:space="preserve"> </w:t>
            </w:r>
            <w:r>
              <w:rPr>
                <w:b/>
                <w:bCs/>
              </w:rPr>
              <w:t xml:space="preserve">Directly relevant to your nurse_perbed covariate; cite when interpreting that result.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10.1097/MLR.0000000000001966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Mostafa R, El-Atawi K, 2024</w:t>
            </w:r>
          </w:p>
        </w:tc>
        <w:tc>
          <w:tcPr/>
          <w:p>
            <w:pPr>
              <w:pStyle w:val="Compact"/>
            </w:pPr>
            <w:r>
              <w:t xml:space="preserve">Strategies to Measure and Improve Emergency Department Performance: A Review</w:t>
            </w:r>
          </w:p>
        </w:tc>
        <w:tc>
          <w:tcPr/>
          <w:p>
            <w:pPr>
              <w:pStyle w:val="Compact"/>
            </w:pPr>
            <w:r>
              <w:t xml:space="preserve">Review linking ED LOS, wait time, and crowding to patient satisfaction. Communication during waits matters as much as actual wait time; fast-track systems and flow coordination improve both throughput and satisfaction.</w:t>
            </w:r>
            <w:r>
              <w:t xml:space="preserve"> </w:t>
            </w:r>
            <w:r>
              <w:rPr>
                <w:b/>
                <w:bCs/>
              </w:rPr>
              <w:t xml:space="preserve">Cite when interpreting your ED-time coefficient and the throughput gain (292 → 181 min).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10.7759/cureus.52879</w:t>
              </w:r>
            </w:hyperlink>
          </w:p>
        </w:tc>
      </w:tr>
    </w:tbl>
    <w:bookmarkEnd w:id="28"/>
    <w:bookmarkStart w:id="31" w:name="recent-descriptive-comparators"/>
    <w:p>
      <w:pPr>
        <w:pStyle w:val="Heading3"/>
      </w:pPr>
      <w:r>
        <w:t xml:space="preserve">Recent descriptive comparators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First author et al., year</w:t>
            </w:r>
          </w:p>
        </w:tc>
        <w:tc>
          <w:tcPr/>
          <w:p>
            <w:pPr>
              <w:pStyle w:val="Compact"/>
            </w:pPr>
            <w: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t xml:space="preserve">Study summary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Hung M et al., 2025</w:t>
            </w:r>
          </w:p>
        </w:tc>
        <w:tc>
          <w:tcPr/>
          <w:p>
            <w:pPr>
              <w:pStyle w:val="Compact"/>
            </w:pPr>
            <w:r>
              <w:t xml:space="preserve">Unveiling the drivers of patient satisfaction in the United States hospitals: Assessing quality indicators across regions</w:t>
            </w:r>
          </w:p>
        </w:tc>
        <w:tc>
          <w:tcPr/>
          <w:p>
            <w:pPr>
              <w:pStyle w:val="Compact"/>
            </w:pPr>
            <w:r>
              <w:t xml:space="preserve">Cross-sectional July 2021–June 2022 HCAHPS analysis of 3,286 U.S. hospitals stratified by region. Midwest scoring highest overall. Communication about medications and discharge information were the lowest-scoring domains.</w:t>
            </w:r>
            <w:r>
              <w:t xml:space="preserve"> </w:t>
            </w:r>
            <w:r>
              <w:rPr>
                <w:b/>
                <w:bCs/>
              </w:rPr>
              <w:t xml:space="preserve">Recent descriptive comparator for regional variation.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10.1371/journal.pone.0324737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Bland C et al., 2022</w:t>
            </w:r>
          </w:p>
        </w:tc>
        <w:tc>
          <w:tcPr/>
          <w:p>
            <w:pPr>
              <w:pStyle w:val="Compact"/>
            </w:pPr>
            <w:r>
              <w:t xml:space="preserve">Challenges Facing CAHPS Surveys and Opportunities for Modernization</w:t>
            </w:r>
          </w:p>
        </w:tc>
        <w:tc>
          <w:tcPr/>
          <w:p>
            <w:pPr>
              <w:pStyle w:val="Compact"/>
            </w:pPr>
            <w:r>
              <w:t xml:space="preserve">RTI Press occasional paper. Discusses declining response rates, mode-shift challenges, "topped-out" measures, and policy implications of CAHPS in an evolving value-based payment landscape.</w:t>
            </w:r>
            <w:r>
              <w:t xml:space="preserve"> </w:t>
            </w:r>
            <w:r>
              <w:rPr>
                <w:b/>
                <w:bCs/>
              </w:rPr>
              <w:t xml:space="preserve">Useful for framing why HCAHPS measurement matters for policy.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10.3768/rtipress.2022.op.0080.2211</w:t>
              </w:r>
            </w:hyperlink>
          </w:p>
        </w:tc>
      </w:tr>
    </w:tbl>
    <w:bookmarkEnd w:id="31"/>
    <w:bookmarkStart w:id="34" w:name="gray-literature-for-policy-framing"/>
    <w:p>
      <w:pPr>
        <w:pStyle w:val="Heading3"/>
      </w:pPr>
      <w:r>
        <w:t xml:space="preserve">Gray literature for policy framing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First author et al., year</w:t>
            </w:r>
          </w:p>
        </w:tc>
        <w:tc>
          <w:tcPr/>
          <w:p>
            <w:pPr>
              <w:pStyle w:val="Compact"/>
            </w:pPr>
            <w: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t xml:space="preserve">Study summary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 Hospital Association, 2024</w:t>
            </w:r>
          </w:p>
        </w:tc>
        <w:tc>
          <w:tcPr/>
          <w:p>
            <w:pPr>
              <w:pStyle w:val="Compact"/>
            </w:pPr>
            <w:r>
              <w:t xml:space="preserve">Assessing the Impact of COVID-19 on Rural Hospitals</w:t>
            </w:r>
          </w:p>
        </w:tc>
        <w:tc>
          <w:tcPr/>
          <w:p>
            <w:pPr>
              <w:pStyle w:val="Compact"/>
            </w:pPr>
            <w:r>
              <w:t xml:space="preserve">48% of rural hospitals had consistently negative operating margins through and after COVID; provider relief funds masked long-standing financial fragility.</w:t>
            </w:r>
            <w:r>
              <w:t xml:space="preserve"> </w:t>
            </w:r>
            <w:r>
              <w:rPr>
                <w:b/>
                <w:bCs/>
              </w:rPr>
              <w:t xml:space="preserve">Useful for policy framing on why rural HCAHPS gains matter.</w:t>
            </w:r>
          </w:p>
        </w:tc>
        <w:tc>
          <w:tcPr/>
          <w:p>
            <w:pPr>
              <w:pStyle w:val="Compact"/>
            </w:pPr>
            <w:r>
              <w:t xml:space="preserve">No DOI —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aha.org/guidesreports/2024-04-04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ASPE / HHS, 2024</w:t>
            </w:r>
          </w:p>
        </w:tc>
        <w:tc>
          <w:tcPr/>
          <w:p>
            <w:pPr>
              <w:pStyle w:val="Compact"/>
            </w:pPr>
            <w:r>
              <w:t xml:space="preserve">Rural Hospital Closures Research Report</w:t>
            </w:r>
          </w:p>
        </w:tc>
        <w:tc>
          <w:tcPr/>
          <w:p>
            <w:pPr>
              <w:pStyle w:val="Compact"/>
            </w:pPr>
            <w:r>
              <w:t xml:space="preserve">Documents continuing rural hospital closures (18 in 2020, 2 in 2021, 6 in 2022, 8 in 2023) and the new Rural Emergency Hospital designation introduced in 2023.</w:t>
            </w:r>
            <w:r>
              <w:t xml:space="preserve"> </w:t>
            </w:r>
            <w:r>
              <w:rPr>
                <w:b/>
                <w:bCs/>
              </w:rPr>
              <w:t xml:space="preserve">Context for the policy stakes of rural HCAHPS performance.</w:t>
            </w:r>
          </w:p>
        </w:tc>
        <w:tc>
          <w:tcPr/>
          <w:p>
            <w:pPr>
              <w:pStyle w:val="Compact"/>
            </w:pPr>
            <w:r>
              <w:t xml:space="preserve">No DOI —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aspe.hhs.gov rural-health-rr-30-Oct-24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X99d238219ee81e93096121cd29611aeacd3cf40"/>
    <w:p>
      <w:pPr>
        <w:pStyle w:val="Heading2"/>
      </w:pPr>
      <w:r>
        <w:t xml:space="preserve">Journal recommendation: Health Affairs (primary)</w:t>
      </w:r>
    </w:p>
    <w:p>
      <w:pPr>
        <w:pStyle w:val="FirstParagraph"/>
      </w:pPr>
      <w:r>
        <w:rPr>
          <w:b/>
          <w:bCs/>
        </w:rPr>
        <w:t xml:space="preserve">Why Health Affairs</w:t>
      </w:r>
    </w:p>
    <w:p>
      <w:pPr>
        <w:pStyle w:val="Compact"/>
        <w:numPr>
          <w:ilvl w:val="0"/>
          <w:numId w:val="1001"/>
        </w:numPr>
      </w:pPr>
      <w:r>
        <w:t xml:space="preserve">Strongest policy reach in health-services research; explicitly oriented toward audiences that influence CMS payment design.</w:t>
      </w:r>
    </w:p>
    <w:p>
      <w:pPr>
        <w:pStyle w:val="Compact"/>
        <w:numPr>
          <w:ilvl w:val="0"/>
          <w:numId w:val="1001"/>
        </w:numPr>
      </w:pPr>
      <w:r>
        <w:t xml:space="preserve">Readers will care about your headline implication (community context explains levels but not change → cautions on payment use of star ratings).</w:t>
      </w:r>
    </w:p>
    <w:p>
      <w:pPr>
        <w:pStyle w:val="Compact"/>
        <w:numPr>
          <w:ilvl w:val="0"/>
          <w:numId w:val="1001"/>
        </w:numPr>
      </w:pPr>
      <w:r>
        <w:t xml:space="preserve">Format favors clear visual evidence — your maps + change-decomposition table fit naturally.</w:t>
      </w:r>
    </w:p>
    <w:p>
      <w:pPr>
        <w:pStyle w:val="Compact"/>
        <w:numPr>
          <w:ilvl w:val="0"/>
          <w:numId w:val="1001"/>
        </w:numPr>
      </w:pPr>
      <w:r>
        <w:t xml:space="preserve">Word limits are tight (~3,500–4,000 words, 6 exhibits); your story is compact enough to fit.</w:t>
      </w:r>
    </w:p>
    <w:p>
      <w:pPr>
        <w:pStyle w:val="FirstParagraph"/>
      </w:pPr>
      <w:r>
        <w:rPr>
          <w:b/>
          <w:bCs/>
        </w:rPr>
        <w:t xml:space="preserve">Backups, in order of fit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JAMA Health Forum</w:t>
      </w:r>
      <w:r>
        <w:t xml:space="preserve"> </w:t>
      </w:r>
      <w:r>
        <w:t xml:space="preserve">— Elliott 2023 published here. Closest fit if reviewers see the work as extending the COVID-trend literature. Higher impact factor; faster turnaround.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Health Affairs Scholar</w:t>
      </w:r>
      <w:r>
        <w:t xml:space="preserve"> </w:t>
      </w:r>
      <w:r>
        <w:t xml:space="preserve">— Beckett 2025 (CAH) published here. Open-access sister to Health Affairs; shorter cycle; same audience.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Medical Care</w:t>
      </w:r>
      <w:r>
        <w:t xml:space="preserve"> </w:t>
      </w:r>
      <w:r>
        <w:t xml:space="preserve">— Beckett/Lehrman trends and Fitzpatrick Rosenbaum nursing both here. Best fit if methods become more central than policy.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Health Services Research</w:t>
      </w:r>
      <w:r>
        <w:t xml:space="preserve"> </w:t>
      </w:r>
      <w:r>
        <w:t xml:space="preserve">— broader empirical scope, somewhat less policy reach.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Milbank Quarterly</w:t>
      </w:r>
      <w:r>
        <w:t xml:space="preserve"> </w:t>
      </w:r>
      <w:r>
        <w:t xml:space="preserve">— for a more discursive policy framing if the empirical analysis is paired with a stronger argumentative narrative.</w:t>
      </w:r>
    </w:p>
    <w:p>
      <w:r>
        <w:pict>
          <v:rect style="width:0;height:1.5pt" o:hralign="center" o:hrstd="t" o:hr="t"/>
        </w:pict>
      </w:r>
    </w:p>
    <w:bookmarkEnd w:id="36"/>
    <w:bookmarkStart w:id="37" w:name="open-searches--next-steps"/>
    <w:p>
      <w:pPr>
        <w:pStyle w:val="Heading2"/>
      </w:pPr>
      <w:r>
        <w:t xml:space="preserve">Open searches / next steps</w:t>
      </w:r>
    </w:p>
    <w:p>
      <w:pPr>
        <w:pStyle w:val="Compact"/>
        <w:numPr>
          <w:ilvl w:val="0"/>
          <w:numId w:val="1003"/>
        </w:numPr>
      </w:pPr>
      <w:r>
        <w:t xml:space="preserve">Verify Beckett/Lehrman 2024 disparities paper full citation (currently referenced indirectly via RAND CAHPS pubs)</w:t>
      </w:r>
    </w:p>
    <w:p>
      <w:pPr>
        <w:pStyle w:val="Compact"/>
        <w:numPr>
          <w:ilvl w:val="0"/>
          <w:numId w:val="1004"/>
        </w:numPr>
      </w:pPr>
      <w:r>
        <w:t xml:space="preserve">Search for any prior paper using CMS Timely &amp; Effective Care ED throughput as an HCAHPS predictor</w:t>
      </w:r>
    </w:p>
    <w:p>
      <w:pPr>
        <w:pStyle w:val="Compact"/>
        <w:numPr>
          <w:ilvl w:val="0"/>
          <w:numId w:val="1005"/>
        </w:numPr>
      </w:pPr>
      <w:r>
        <w:t xml:space="preserve">Search for prior use of CDC PLACES county health measures as hospital-quality-research covariates</w:t>
      </w:r>
    </w:p>
    <w:p>
      <w:pPr>
        <w:pStyle w:val="Compact"/>
        <w:numPr>
          <w:ilvl w:val="0"/>
          <w:numId w:val="1006"/>
        </w:numPr>
      </w:pPr>
      <w:r>
        <w:t xml:space="preserve">Resolve first authors for the 2024 PLOS One rurality paper and the 2025 PMC12156982 regional drivers paper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aspe.hhs.gov/sites/default/files/documents/6056484066506a8d4ba3dcd8d9322490/rural-health-rr-30-Oct-24.pdf" TargetMode="External" /><Relationship Type="http://schemas.openxmlformats.org/officeDocument/2006/relationships/hyperlink" Id="rId10" Target="https://doi.org/10.1001/jamahealthforum.2023.2766" TargetMode="External" /><Relationship Type="http://schemas.openxmlformats.org/officeDocument/2006/relationships/hyperlink" Id="rId19" Target="https://doi.org/10.1001/jamanetworkopen.2024.11933" TargetMode="External" /><Relationship Type="http://schemas.openxmlformats.org/officeDocument/2006/relationships/hyperlink" Id="rId23" Target="https://doi.org/10.1002/puh2.219" TargetMode="External" /><Relationship Type="http://schemas.openxmlformats.org/officeDocument/2006/relationships/hyperlink" Id="rId22" Target="https://doi.org/10.1093/haschl/qxaf090" TargetMode="External" /><Relationship Type="http://schemas.openxmlformats.org/officeDocument/2006/relationships/hyperlink" Id="rId26" Target="https://doi.org/10.1097/MLR.0000000000001966" TargetMode="External" /><Relationship Type="http://schemas.openxmlformats.org/officeDocument/2006/relationships/hyperlink" Id="rId12" Target="https://doi.org/10.1097/MLR.0000000000002001" TargetMode="External" /><Relationship Type="http://schemas.openxmlformats.org/officeDocument/2006/relationships/hyperlink" Id="rId16" Target="https://doi.org/10.1097/MLR.0000000000002127" TargetMode="External" /><Relationship Type="http://schemas.openxmlformats.org/officeDocument/2006/relationships/hyperlink" Id="rId15" Target="https://doi.org/10.1177/1062860618765977" TargetMode="External" /><Relationship Type="http://schemas.openxmlformats.org/officeDocument/2006/relationships/hyperlink" Id="rId13" Target="https://doi.org/10.1177/10775587231223292" TargetMode="External" /><Relationship Type="http://schemas.openxmlformats.org/officeDocument/2006/relationships/hyperlink" Id="rId11" Target="https://doi.org/10.1177/10775587251349053" TargetMode="External" /><Relationship Type="http://schemas.openxmlformats.org/officeDocument/2006/relationships/hyperlink" Id="rId24" Target="https://doi.org/10.1371/journal.pone.0308564" TargetMode="External" /><Relationship Type="http://schemas.openxmlformats.org/officeDocument/2006/relationships/hyperlink" Id="rId29" Target="https://doi.org/10.1371/journal.pone.0324737" TargetMode="External" /><Relationship Type="http://schemas.openxmlformats.org/officeDocument/2006/relationships/hyperlink" Id="rId17" Target="https://doi.org/10.17226/23513" TargetMode="External" /><Relationship Type="http://schemas.openxmlformats.org/officeDocument/2006/relationships/hyperlink" Id="rId20" Target="https://doi.org/10.3233/HSM-220042" TargetMode="External" /><Relationship Type="http://schemas.openxmlformats.org/officeDocument/2006/relationships/hyperlink" Id="rId30" Target="https://doi.org/10.3768/rtipress.2022.op.0080.2211" TargetMode="External" /><Relationship Type="http://schemas.openxmlformats.org/officeDocument/2006/relationships/hyperlink" Id="rId27" Target="https://doi.org/10.7759/cureus.52879" TargetMode="External" /><Relationship Type="http://schemas.openxmlformats.org/officeDocument/2006/relationships/hyperlink" Id="rId32" Target="https://www.aha.org/guidesreports/2024-04-04-assessing-impact-covid-19-rural-hospita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aspe.hhs.gov/sites/default/files/documents/6056484066506a8d4ba3dcd8d9322490/rural-health-rr-30-Oct-24.pdf" TargetMode="External" /><Relationship Type="http://schemas.openxmlformats.org/officeDocument/2006/relationships/hyperlink" Id="rId10" Target="https://doi.org/10.1001/jamahealthforum.2023.2766" TargetMode="External" /><Relationship Type="http://schemas.openxmlformats.org/officeDocument/2006/relationships/hyperlink" Id="rId19" Target="https://doi.org/10.1001/jamanetworkopen.2024.11933" TargetMode="External" /><Relationship Type="http://schemas.openxmlformats.org/officeDocument/2006/relationships/hyperlink" Id="rId23" Target="https://doi.org/10.1002/puh2.219" TargetMode="External" /><Relationship Type="http://schemas.openxmlformats.org/officeDocument/2006/relationships/hyperlink" Id="rId22" Target="https://doi.org/10.1093/haschl/qxaf090" TargetMode="External" /><Relationship Type="http://schemas.openxmlformats.org/officeDocument/2006/relationships/hyperlink" Id="rId26" Target="https://doi.org/10.1097/MLR.0000000000001966" TargetMode="External" /><Relationship Type="http://schemas.openxmlformats.org/officeDocument/2006/relationships/hyperlink" Id="rId12" Target="https://doi.org/10.1097/MLR.0000000000002001" TargetMode="External" /><Relationship Type="http://schemas.openxmlformats.org/officeDocument/2006/relationships/hyperlink" Id="rId16" Target="https://doi.org/10.1097/MLR.0000000000002127" TargetMode="External" /><Relationship Type="http://schemas.openxmlformats.org/officeDocument/2006/relationships/hyperlink" Id="rId15" Target="https://doi.org/10.1177/1062860618765977" TargetMode="External" /><Relationship Type="http://schemas.openxmlformats.org/officeDocument/2006/relationships/hyperlink" Id="rId13" Target="https://doi.org/10.1177/10775587231223292" TargetMode="External" /><Relationship Type="http://schemas.openxmlformats.org/officeDocument/2006/relationships/hyperlink" Id="rId11" Target="https://doi.org/10.1177/10775587251349053" TargetMode="External" /><Relationship Type="http://schemas.openxmlformats.org/officeDocument/2006/relationships/hyperlink" Id="rId24" Target="https://doi.org/10.1371/journal.pone.0308564" TargetMode="External" /><Relationship Type="http://schemas.openxmlformats.org/officeDocument/2006/relationships/hyperlink" Id="rId29" Target="https://doi.org/10.1371/journal.pone.0324737" TargetMode="External" /><Relationship Type="http://schemas.openxmlformats.org/officeDocument/2006/relationships/hyperlink" Id="rId17" Target="https://doi.org/10.17226/23513" TargetMode="External" /><Relationship Type="http://schemas.openxmlformats.org/officeDocument/2006/relationships/hyperlink" Id="rId20" Target="https://doi.org/10.3233/HSM-220042" TargetMode="External" /><Relationship Type="http://schemas.openxmlformats.org/officeDocument/2006/relationships/hyperlink" Id="rId30" Target="https://doi.org/10.3768/rtipress.2022.op.0080.2211" TargetMode="External" /><Relationship Type="http://schemas.openxmlformats.org/officeDocument/2006/relationships/hyperlink" Id="rId27" Target="https://doi.org/10.7759/cureus.52879" TargetMode="External" /><Relationship Type="http://schemas.openxmlformats.org/officeDocument/2006/relationships/hyperlink" Id="rId32" Target="https://www.aha.org/guidesreports/2024-04-04-assessing-impact-covid-19-rural-hospita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2026-05-01T15:03:43Z</dcterms:created>
  <dcterms:modified xsi:type="dcterms:W3CDTF">2026-05-01T15:03:43Z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