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cs="Calibri"/>
          <w:b/>
          <w:color w:val="1B3A4B"/>
          <w:sz w:val="52"/>
        </w:rPr>
        <w:t>Chapter 15</w:t>
      </w:r>
    </w:p>
    <w:p>
      <w:pPr>
        <w:spacing w:before="0" w:after="40"/>
      </w:pPr>
      <w:r>
        <w:rPr>
          <w:rFonts w:ascii="Calibri" w:hAnsi="Calibri" w:cs="Calibri"/>
          <w:b/>
          <w:color w:val="0F6E6E"/>
          <w:sz w:val="40"/>
        </w:rPr>
        <w:t>Medical Overview</w:t>
      </w:r>
    </w:p>
    <w:p>
      <w:pPr>
        <w:spacing w:after="160"/>
      </w:pPr>
      <w:r>
        <w:rPr>
          <w:rFonts w:ascii="Calibri" w:hAnsi="Calibri" w:cs="Calibri"/>
          <w:i/>
          <w:color w:val="5C676E"/>
          <w:sz w:val="22"/>
        </w:rPr>
        <w:t>Study notes for the Block II written  ·  Thu Oct 15  ·  AAOS Emergency Care</w:t>
      </w:r>
    </w:p>
    <w:p>
      <w:pPr>
        <w:spacing w:after="120" w:before="0" w:line="259" w:lineRule="auto"/>
      </w:pPr>
      <w:r>
        <w:rPr>
          <w:rFonts w:ascii="Calibri" w:hAnsi="Calibri" w:cs="Calibri"/>
          <w:color w:val="333A42"/>
          <w:sz w:val="22"/>
        </w:rPr>
        <w:t>Medical calls have no wreck to point at. You build the problem from the nature of the illness, how sick the patient looks, and whether the numbers are getting worse. The assessment skeleton is the same one you already use on trauma. After the life threats are handled, the order changes.</w:t>
      </w:r>
    </w:p>
    <w:p>
      <w:pPr>
        <w:pStyle w:val="Heading1"/>
      </w:pPr>
      <w:r>
        <w:t>What this chapter is for</w:t>
      </w:r>
    </w:p>
    <w:p>
      <w:pPr>
        <w:spacing w:after="120" w:before="0" w:line="259" w:lineRule="auto"/>
      </w:pPr>
      <w:r>
        <w:rPr>
          <w:rFonts w:ascii="Calibri" w:hAnsi="Calibri" w:cs="Calibri"/>
          <w:color w:val="333A42"/>
          <w:sz w:val="22"/>
        </w:rPr>
        <w:t>Chapter 15 is the method. Chapters 16, 17, and 18 are the specific respiratory, cardiac, and neuro problems. On a medical call your job is to find life threats, get a usable story, decide sick versus not sick, and move the right patient to the right hospital with an early heads-up. Naming the exact disease is the hospital’s job.</w:t>
      </w:r>
    </w:p>
    <w:p>
      <w:pPr>
        <w:pStyle w:val="Heading1"/>
      </w:pPr>
      <w:r>
        <w:t>Medical versus trauma</w:t>
      </w:r>
    </w:p>
    <w:tbl>
      <w:tblPr>
        <w:tblW w:type="auto" w:w="0"/>
        <w:tblLayout w:type="fixed"/>
        <w:tblLook w:firstColumn="1" w:firstRow="1" w:lastColumn="0" w:lastRow="0" w:noHBand="0" w:noVBand="1" w:val="04A0"/>
        <w:tblW w:w="10224" w:type="dxa"/>
      </w:tblPr>
      <w:tblGrid>
        <w:gridCol w:w="3312"/>
        <w:gridCol w:w="3312"/>
        <w:gridCol w:w="3312"/>
      </w:tblGrid>
      <w:tr>
        <w:trPr>
          <w:cantSplit/>
        </w:trPr>
        <w:tc>
          <w:tcPr>
            <w:tcW w:type="dxa" w:w="244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r>
          </w:p>
        </w:tc>
        <w:tc>
          <w:tcPr>
            <w:tcW w:type="dxa" w:w="3600"/>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Trauma</w:t>
            </w:r>
          </w:p>
        </w:tc>
        <w:tc>
          <w:tcPr>
            <w:tcW w:type="dxa" w:w="4176"/>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Medical</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What drives the call</w:t>
            </w:r>
          </w:p>
        </w:tc>
        <w:tc>
          <w:tcPr>
            <w:tcW w:type="dxa" w:w="3600"/>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Mechanism of injury (MOI)</w:t>
            </w:r>
          </w:p>
        </w:tc>
        <w:tc>
          <w:tcPr>
            <w:tcW w:type="dxa" w:w="41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Nature of illness (NOI)</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What NOI / MOI is</w:t>
            </w:r>
          </w:p>
        </w:tc>
        <w:tc>
          <w:tcPr>
            <w:tcW w:type="dxa" w:w="3600"/>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 forces that hurt the body</w:t>
            </w:r>
          </w:p>
        </w:tc>
        <w:tc>
          <w:tcPr>
            <w:tcW w:type="dxa" w:w="41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 category of illness, not a final diagnosis</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Awake, stable patient</w:t>
            </w:r>
          </w:p>
        </w:tc>
        <w:tc>
          <w:tcPr>
            <w:tcW w:type="dxa" w:w="3600"/>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Still look for hidden injury from the MOI</w:t>
            </w:r>
          </w:p>
        </w:tc>
        <w:tc>
          <w:tcPr>
            <w:tcW w:type="dxa" w:w="41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History early, then a focused exam</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Unresponsive patient</w:t>
            </w:r>
          </w:p>
        </w:tc>
        <w:tc>
          <w:tcPr>
            <w:tcW w:type="dxa" w:w="3600"/>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Rapid head-to-toe, treat life threats</w:t>
            </w:r>
          </w:p>
        </w:tc>
        <w:tc>
          <w:tcPr>
            <w:tcW w:type="dxa" w:w="41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Same rapid head-to-toe, plus glucose</w:t>
            </w:r>
          </w:p>
        </w:tc>
      </w:tr>
    </w:tbl>
    <w:p>
      <w:pPr>
        <w:spacing w:after="40"/>
      </w:pPr>
    </w:p>
    <w:p>
      <w:pPr>
        <w:spacing w:after="120" w:before="0" w:line="259" w:lineRule="auto"/>
      </w:pPr>
      <w:r>
        <w:rPr>
          <w:rFonts w:ascii="Calibri" w:hAnsi="Calibri" w:cs="Calibri"/>
          <w:b/>
          <w:color w:val="1B3A4B"/>
          <w:sz w:val="22"/>
        </w:rPr>
        <w:t xml:space="preserve">Nature of illness. </w:t>
      </w:r>
      <w:r>
        <w:rPr>
          <w:rFonts w:ascii="Calibri" w:hAnsi="Calibri" w:cs="Calibri"/>
          <w:color w:val="333A42"/>
          <w:sz w:val="22"/>
        </w:rPr>
        <w:t>NOI is the medical counterpart of MOI: respiratory, cardiac, neurologic, gastrointestinal, endocrine, toxicologic, infectious, or behavioral. It is the type of problem, not the failing organ and not a hospital specialty.</w:t>
      </w:r>
    </w:p>
    <w:p>
      <w:pPr>
        <w:spacing w:after="120" w:before="0" w:line="259" w:lineRule="auto"/>
      </w:pPr>
      <w:r>
        <w:rPr>
          <w:rFonts w:ascii="Calibri" w:hAnsi="Calibri" w:cs="Calibri"/>
          <w:b/>
          <w:color w:val="1B3A4B"/>
          <w:sz w:val="22"/>
        </w:rPr>
        <w:t xml:space="preserve">Index of suspicion. </w:t>
      </w:r>
      <w:r>
        <w:rPr>
          <w:rFonts w:ascii="Calibri" w:hAnsi="Calibri" w:cs="Calibri"/>
          <w:color w:val="333A42"/>
          <w:sz w:val="22"/>
        </w:rPr>
        <w:t>How worried you should be that something serious is hiding. Dispatch gets the wheels rolling. The patient’s appearance, the story, and the vital signs set the real problem list. Profound bradycardia with hypotension on a “weakness” call is a time-critical cardiac problem, whatever the dispatch code said.</w:t>
      </w:r>
    </w:p>
    <w:p>
      <w:pPr>
        <w:pStyle w:val="Heading1"/>
      </w:pPr>
      <w:r>
        <w:t>Assessment, in order</w:t>
      </w:r>
    </w:p>
    <w:p>
      <w:pPr>
        <w:pStyle w:val="ListBullet"/>
        <w:spacing w:after="40" w:before="0" w:line="252" w:lineRule="auto"/>
      </w:pPr>
      <w:r>
        <w:rPr>
          <w:rFonts w:ascii="Calibri" w:hAnsi="Calibri" w:cs="Calibri"/>
          <w:b/>
          <w:color w:val="1B3A4B"/>
          <w:sz w:val="22"/>
        </w:rPr>
        <w:t xml:space="preserve">1. Scene size-up. </w:t>
      </w:r>
      <w:r>
        <w:rPr>
          <w:rFonts w:ascii="Calibri" w:hAnsi="Calibri" w:cs="Calibri"/>
          <w:color w:val="333A42"/>
          <w:sz w:val="22"/>
        </w:rPr>
        <w:t>Your safety, PPE, NOI, number of patients, extra resources.</w:t>
      </w:r>
    </w:p>
    <w:p>
      <w:pPr>
        <w:pStyle w:val="ListBullet"/>
        <w:spacing w:after="40" w:before="0" w:line="252" w:lineRule="auto"/>
      </w:pPr>
      <w:r>
        <w:rPr>
          <w:rFonts w:ascii="Calibri" w:hAnsi="Calibri" w:cs="Calibri"/>
          <w:b/>
          <w:color w:val="1B3A4B"/>
          <w:sz w:val="22"/>
        </w:rPr>
        <w:t xml:space="preserve">2. Primary assessment. </w:t>
      </w:r>
      <w:r>
        <w:rPr>
          <w:rFonts w:ascii="Calibri" w:hAnsi="Calibri" w:cs="Calibri"/>
          <w:color w:val="333A42"/>
          <w:sz w:val="22"/>
        </w:rPr>
        <w:t>General impression, AVPU, ABCs. Find and treat what will kill them now.</w:t>
      </w:r>
    </w:p>
    <w:p>
      <w:pPr>
        <w:pStyle w:val="ListBullet"/>
        <w:spacing w:after="40" w:before="0" w:line="252" w:lineRule="auto"/>
      </w:pPr>
      <w:r>
        <w:rPr>
          <w:rFonts w:ascii="Calibri" w:hAnsi="Calibri" w:cs="Calibri"/>
          <w:b/>
          <w:color w:val="1B3A4B"/>
          <w:sz w:val="22"/>
        </w:rPr>
        <w:t xml:space="preserve">3. History. </w:t>
      </w:r>
      <w:r>
        <w:rPr>
          <w:rFonts w:ascii="Calibri" w:hAnsi="Calibri" w:cs="Calibri"/>
          <w:color w:val="333A42"/>
          <w:sz w:val="22"/>
        </w:rPr>
        <w:t>Chief complaint, OPQRST, SAMPLE. From family if the patient cannot talk.</w:t>
      </w:r>
    </w:p>
    <w:p>
      <w:pPr>
        <w:pStyle w:val="ListBullet"/>
        <w:spacing w:after="40" w:before="0" w:line="252" w:lineRule="auto"/>
      </w:pPr>
      <w:r>
        <w:rPr>
          <w:rFonts w:ascii="Calibri" w:hAnsi="Calibri" w:cs="Calibri"/>
          <w:b/>
          <w:color w:val="1B3A4B"/>
          <w:sz w:val="22"/>
        </w:rPr>
        <w:t xml:space="preserve">4. Secondary assessment. </w:t>
      </w:r>
      <w:r>
        <w:rPr>
          <w:rFonts w:ascii="Calibri" w:hAnsi="Calibri" w:cs="Calibri"/>
          <w:color w:val="333A42"/>
          <w:sz w:val="22"/>
        </w:rPr>
        <w:t>Focused if they are awake. Rapid full-body if they are not.</w:t>
      </w:r>
    </w:p>
    <w:p>
      <w:pPr>
        <w:pStyle w:val="ListBullet"/>
        <w:spacing w:after="40" w:before="0" w:line="252" w:lineRule="auto"/>
      </w:pPr>
      <w:r>
        <w:rPr>
          <w:rFonts w:ascii="Calibri" w:hAnsi="Calibri" w:cs="Calibri"/>
          <w:b/>
          <w:color w:val="1B3A4B"/>
          <w:sz w:val="22"/>
        </w:rPr>
        <w:t xml:space="preserve">5. Reassessment. </w:t>
      </w:r>
      <w:r>
        <w:rPr>
          <w:rFonts w:ascii="Calibri" w:hAnsi="Calibri" w:cs="Calibri"/>
          <w:color w:val="333A42"/>
          <w:sz w:val="22"/>
        </w:rPr>
        <w:t>Unstable about every 5 minutes. Stable about every 15. Again after every intervention.</w:t>
      </w:r>
    </w:p>
    <w:p>
      <w:pPr>
        <w:pStyle w:val="Heading2"/>
      </w:pPr>
      <w:r>
        <w:t>Scene size-up</w:t>
      </w:r>
    </w:p>
    <w:p>
      <w:pPr>
        <w:spacing w:after="120" w:before="0" w:line="259" w:lineRule="auto"/>
      </w:pPr>
      <w:r>
        <w:rPr>
          <w:rFonts w:ascii="Calibri" w:hAnsi="Calibri" w:cs="Calibri"/>
          <w:color w:val="333A42"/>
          <w:sz w:val="22"/>
        </w:rPr>
        <w:t>PPE matches the call before you lean in: cough, vomiting, suctioning, or an unknown unresponsive patient. Read the room for the NOI. Oxygen tubing, inhalers, insulin, a row of pill bottles, alcohol, vomit, or incontinence is part of the history.</w:t>
      </w:r>
    </w:p>
    <w:tbl>
      <w:tblPr>
        <w:tblW w:type="auto" w:w="0"/>
        <w:tblLayout w:type="fixed"/>
        <w:tblLook w:firstColumn="1" w:firstRow="1" w:lastColumn="0" w:lastRow="0" w:noHBand="0" w:noVBand="1" w:val="04A0"/>
      </w:tblPr>
      <w:tblGrid>
        <w:gridCol w:w="9936"/>
      </w:tblGrid>
      <w:tr>
        <w:tc>
          <w:tcPr>
            <w:tcW w:type="dxa" w:w="9936"/>
            <w:shd w:val="clear" w:color="auto" w:fill="FBF3E4"/>
            <w:tcBorders>
              <w:top w:val="single" w:sz="4" w:space="0" w:color="D5DEE3"/>
              <w:left w:val="single" w:sz="4" w:space="0" w:color="D5DEE3"/>
              <w:bottom w:val="single" w:sz="4" w:space="0" w:color="D5DEE3"/>
              <w:right w:val="single" w:sz="4" w:space="0" w:color="D5DEE3"/>
            </w:tcBorders>
            <w:tcMar>
              <w:top w:w="60" w:type="dxa"/>
              <w:left w:w="120" w:type="dxa"/>
              <w:bottom w:w="60" w:type="dxa"/>
              <w:right w:w="120" w:type="dxa"/>
            </w:tcMar>
          </w:tcPr>
          <w:p>
            <w:pPr>
              <w:spacing w:after="40" w:before="0"/>
            </w:pPr>
            <w:r/>
            <w:r>
              <w:rPr>
                <w:rFonts w:ascii="Calibri" w:hAnsi="Calibri" w:cs="Calibri"/>
                <w:b/>
                <w:color w:val="1B3A4B"/>
                <w:sz w:val="22"/>
              </w:rPr>
              <w:t>Closed garage, engine running</w:t>
            </w:r>
          </w:p>
          <w:p>
            <w:pPr>
              <w:spacing w:after="0" w:before="0" w:line="259" w:lineRule="auto"/>
            </w:pPr>
            <w:r>
              <w:rPr>
                <w:rFonts w:ascii="Calibri" w:hAnsi="Calibri" w:cs="Calibri"/>
                <w:color w:val="333A42"/>
                <w:sz w:val="22"/>
              </w:rPr>
              <w:t>Unresponsive, pink skin, snoring respirations: the garage is a toxic work area for both of you. Move him into fresh air before airway work where he lies. A normal pulse-ox reading does not clear carbon monoxide. Standard pulse oximetry cannot tell carboxyhemoglobin from oxyhemoglobin.</w:t>
            </w:r>
          </w:p>
        </w:tc>
      </w:tr>
    </w:tbl>
    <w:p>
      <w:pPr>
        <w:spacing w:after="40"/>
      </w:pPr>
    </w:p>
    <w:p>
      <w:pPr>
        <w:pStyle w:val="Heading2"/>
      </w:pPr>
      <w:r>
        <w:t>Primary assessment: sick or not sick</w:t>
      </w:r>
    </w:p>
    <w:p>
      <w:pPr>
        <w:spacing w:after="120" w:before="0" w:line="259" w:lineRule="auto"/>
      </w:pPr>
      <w:r>
        <w:rPr>
          <w:rFonts w:ascii="Calibri" w:hAnsi="Calibri" w:cs="Calibri"/>
          <w:color w:val="333A42"/>
          <w:sz w:val="22"/>
        </w:rPr>
        <w:t>Form the general impression from the doorway. Work of breathing, skin, and mental status tell you more than whether they can mumble a sentence.</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51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Leans sick — shorten the scene</w:t>
            </w:r>
          </w:p>
        </w:tc>
        <w:tc>
          <w:tcPr>
            <w:tcW w:type="dxa" w:w="51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Does not clear them</w:t>
            </w:r>
          </w:p>
        </w:tc>
      </w:tr>
      <w:tr>
        <w:trPr>
          <w:cantSplit/>
        </w:trPr>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Altered mental status</w:t>
            </w:r>
          </w:p>
        </w:tc>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They are still talking</w:t>
            </w:r>
          </w:p>
        </w:tc>
      </w:tr>
      <w:tr>
        <w:trPr>
          <w:cantSplit/>
        </w:trPr>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Cool, pale, diaphoretic skin</w:t>
            </w:r>
          </w:p>
        </w:tc>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They walked to the ambulance</w:t>
            </w:r>
          </w:p>
        </w:tc>
      </w:tr>
      <w:tr>
        <w:trPr>
          <w:cantSplit/>
        </w:trPr>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Hot, flushed skin with low blood pressure and a fast weak pulse</w:t>
            </w:r>
          </w:p>
        </w:tc>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 single normal SpO2</w:t>
            </w:r>
          </w:p>
        </w:tc>
      </w:tr>
      <w:tr>
        <w:trPr>
          <w:cantSplit/>
        </w:trPr>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Weak, fast pulse and soft pressure</w:t>
            </w:r>
          </w:p>
        </w:tc>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 minor complaint with truly stable vitals</w:t>
            </w:r>
          </w:p>
        </w:tc>
      </w:tr>
      <w:tr>
        <w:trPr>
          <w:cantSplit/>
        </w:trPr>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Severe trouble breathing</w:t>
            </w:r>
          </w:p>
        </w:tc>
        <w:tc>
          <w:tcPr>
            <w:tcW w:type="dxa" w:w="51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Age alone (“weakness is normal in the elderly”)</w:t>
            </w:r>
          </w:p>
        </w:tc>
      </w:tr>
      <w:tr>
        <w:trPr>
          <w:cantSplit/>
        </w:trPr>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Chest pressure plus confusion</w:t>
            </w:r>
          </w:p>
        </w:tc>
        <w:tc>
          <w:tcPr>
            <w:tcW w:type="dxa" w:w="51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 dispatch code that sounded routine</w:t>
            </w:r>
          </w:p>
        </w:tc>
      </w:tr>
    </w:tbl>
    <w:p>
      <w:pPr>
        <w:spacing w:after="40"/>
      </w:pPr>
    </w:p>
    <w:p>
      <w:pPr>
        <w:spacing w:after="120" w:before="0" w:line="259" w:lineRule="auto"/>
      </w:pPr>
      <w:r>
        <w:rPr>
          <w:rFonts w:ascii="Calibri" w:hAnsi="Calibri" w:cs="Calibri"/>
          <w:color w:val="333A42"/>
          <w:sz w:val="22"/>
        </w:rPr>
        <w:t>Confusion in a chest-pain patient means poor perfusion. It is a red flag, not an age-related baseline and not an anxiety reaction you can coach away. Treat ABCs and transport. A slow, complete history is for the stable patient.</w:t>
      </w:r>
    </w:p>
    <w:p>
      <w:pPr>
        <w:pStyle w:val="Heading1"/>
      </w:pPr>
      <w:r>
        <w:t>Two paths after the ABCs</w:t>
      </w:r>
    </w:p>
    <w:tbl>
      <w:tblPr>
        <w:tblW w:type="auto" w:w="0"/>
        <w:tblLayout w:type="fixed"/>
        <w:tblLook w:firstColumn="1" w:firstRow="1" w:lastColumn="0" w:lastRow="0" w:noHBand="0" w:noVBand="1" w:val="04A0"/>
        <w:tblW w:w="10224" w:type="dxa"/>
      </w:tblPr>
      <w:tblGrid>
        <w:gridCol w:w="3312"/>
        <w:gridCol w:w="3312"/>
        <w:gridCol w:w="3312"/>
      </w:tblGrid>
      <w:tr>
        <w:trPr>
          <w:cantSplit/>
        </w:trPr>
        <w:tc>
          <w:tcPr>
            <w:tcW w:type="dxa" w:w="208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r>
          </w:p>
        </w:tc>
        <w:tc>
          <w:tcPr>
            <w:tcW w:type="dxa" w:w="4104"/>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Awake medical patient</w:t>
            </w:r>
          </w:p>
        </w:tc>
        <w:tc>
          <w:tcPr>
            <w:tcW w:type="dxa" w:w="403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Unresponsive medical patient</w:t>
            </w:r>
          </w:p>
        </w:tc>
      </w:tr>
      <w:tr>
        <w:trPr>
          <w:cantSplit/>
        </w:trPr>
        <w:tc>
          <w:tcPr>
            <w:tcW w:type="dxa" w:w="208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Why the paths differ</w:t>
            </w:r>
          </w:p>
        </w:tc>
        <w:tc>
          <w:tcPr>
            <w:tcW w:type="dxa" w:w="410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They can tell you where it hurts</w:t>
            </w:r>
          </w:p>
        </w:tc>
        <w:tc>
          <w:tcPr>
            <w:tcW w:type="dxa" w:w="403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They cannot give you a focus</w:t>
            </w:r>
          </w:p>
        </w:tc>
      </w:tr>
      <w:tr>
        <w:trPr>
          <w:cantSplit/>
        </w:trPr>
        <w:tc>
          <w:tcPr>
            <w:tcW w:type="dxa" w:w="208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History</w:t>
            </w:r>
          </w:p>
        </w:tc>
        <w:tc>
          <w:tcPr>
            <w:tcW w:type="dxa" w:w="4104"/>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Chief complaint, then OPQRST, then SAMPLE</w:t>
            </w:r>
          </w:p>
        </w:tc>
        <w:tc>
          <w:tcPr>
            <w:tcW w:type="dxa" w:w="403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SAMPLE from family, meds, medical alert, bystanders</w:t>
            </w:r>
          </w:p>
        </w:tc>
      </w:tr>
      <w:tr>
        <w:trPr>
          <w:cantSplit/>
        </w:trPr>
        <w:tc>
          <w:tcPr>
            <w:tcW w:type="dxa" w:w="208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Exam</w:t>
            </w:r>
          </w:p>
        </w:tc>
        <w:tc>
          <w:tcPr>
            <w:tcW w:type="dxa" w:w="410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Focused on systems tied to the complaint</w:t>
            </w:r>
          </w:p>
        </w:tc>
        <w:tc>
          <w:tcPr>
            <w:tcW w:type="dxa" w:w="403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Rapid head-to-toe</w:t>
            </w:r>
          </w:p>
        </w:tc>
      </w:tr>
      <w:tr>
        <w:trPr>
          <w:cantSplit/>
        </w:trPr>
        <w:tc>
          <w:tcPr>
            <w:tcW w:type="dxa" w:w="208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Glucose</w:t>
            </w:r>
          </w:p>
        </w:tc>
        <w:tc>
          <w:tcPr>
            <w:tcW w:type="dxa" w:w="4104"/>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If altered, seizing, or the story suggests it</w:t>
            </w:r>
          </w:p>
        </w:tc>
        <w:tc>
          <w:tcPr>
            <w:tcW w:type="dxa" w:w="403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Check it. Every time.</w:t>
            </w:r>
          </w:p>
        </w:tc>
      </w:tr>
      <w:tr>
        <w:trPr>
          <w:cantSplit/>
        </w:trPr>
        <w:tc>
          <w:tcPr>
            <w:tcW w:type="dxa" w:w="208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Vitals</w:t>
            </w:r>
          </w:p>
        </w:tc>
        <w:tc>
          <w:tcPr>
            <w:tcW w:type="dxa" w:w="410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Full set, including SpO2</w:t>
            </w:r>
          </w:p>
        </w:tc>
        <w:tc>
          <w:tcPr>
            <w:tcW w:type="dxa" w:w="403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Full set, including SpO2</w:t>
            </w:r>
          </w:p>
        </w:tc>
      </w:tr>
    </w:tbl>
    <w:p>
      <w:pPr>
        <w:spacing w:after="40"/>
      </w:pPr>
    </w:p>
    <w:p>
      <w:pPr>
        <w:spacing w:after="120" w:before="0" w:line="259" w:lineRule="auto"/>
      </w:pPr>
      <w:r>
        <w:rPr>
          <w:rFonts w:ascii="Calibri" w:hAnsi="Calibri" w:cs="Calibri"/>
          <w:color w:val="333A42"/>
          <w:sz w:val="22"/>
        </w:rPr>
        <w:t>An unresponsive patient cannot refuse care, and you cannot run OPQRST on someone who is not talking. Airway and breathing come first, then the rapid exam, glucose, and vitals. A focused exam of “whatever the family thinks hurt earlier” misses the reason they are unconscious.</w:t>
      </w:r>
    </w:p>
    <w:p>
      <w:pPr>
        <w:pStyle w:val="Heading1"/>
      </w:pPr>
      <w:r>
        <w:t>History tools</w:t>
      </w:r>
    </w:p>
    <w:p>
      <w:pPr>
        <w:spacing w:after="120" w:before="0" w:line="259" w:lineRule="auto"/>
      </w:pPr>
      <w:r>
        <w:rPr>
          <w:rFonts w:ascii="Calibri" w:hAnsi="Calibri" w:cs="Calibri"/>
          <w:b/>
          <w:color w:val="1B3A4B"/>
          <w:sz w:val="22"/>
        </w:rPr>
        <w:t xml:space="preserve">Chief complaint. </w:t>
      </w:r>
      <w:r>
        <w:rPr>
          <w:rFonts w:ascii="Calibri" w:hAnsi="Calibri" w:cs="Calibri"/>
          <w:color w:val="333A42"/>
          <w:sz w:val="22"/>
        </w:rPr>
        <w:t>The reason they called, in their words when you can get them. It is not the differential and it is not a mechanism of injury.</w:t>
      </w:r>
    </w:p>
    <w:p>
      <w:pPr>
        <w:pStyle w:val="Heading2"/>
      </w:pPr>
      <w:r>
        <w:t>OPQRST — this episode</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33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Letter</w:t>
            </w:r>
          </w:p>
        </w:tc>
        <w:tc>
          <w:tcPr>
            <w:tcW w:type="dxa" w:w="69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Ask</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O — Onset</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When did it start? Sudden or gradual? What were they doing?</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P — Provocation / palliation</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What makes it worse? What makes it better? (Not pulse. Not past history.)</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Q — Quality</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What does it feel like? Pressure, sharp, cramp, tear, burn.</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R — Region / radiation</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Where is it? Does it move?</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 — Severity</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How bad, on a 0–10 scale, compared with last time.</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 — Time</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Constant or coming and going? Getting better, worse, or the same?</w:t>
            </w:r>
          </w:p>
        </w:tc>
      </w:tr>
    </w:tbl>
    <w:p>
      <w:pPr>
        <w:spacing w:after="40"/>
      </w:pPr>
    </w:p>
    <w:p>
      <w:pPr>
        <w:spacing w:after="120" w:before="0" w:line="259" w:lineRule="auto"/>
      </w:pPr>
      <w:r>
        <w:rPr>
          <w:rFonts w:ascii="Calibri" w:hAnsi="Calibri" w:cs="Calibri"/>
          <w:color w:val="333A42"/>
          <w:sz w:val="22"/>
        </w:rPr>
        <w:t>SAMPLE is the background. OPQRST unpacks this pain or this episode.</w:t>
      </w:r>
    </w:p>
    <w:p>
      <w:pPr>
        <w:pStyle w:val="Heading2"/>
      </w:pPr>
      <w:r>
        <w:t>SAMPLE — the background</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33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Letter</w:t>
            </w:r>
          </w:p>
        </w:tc>
        <w:tc>
          <w:tcPr>
            <w:tcW w:type="dxa" w:w="691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Ask</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 — Signs and symptoms</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What they feel and what you see.</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 — Allergies</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Medications, foods, latex. What happens when they are exposed.</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M — Medications</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Prescriptions, doses, what they actually took today. M is medications, not MOI.</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P — Past history</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Relevant medical problems, surgeries, hospitalizations.</w:t>
            </w:r>
          </w:p>
        </w:tc>
      </w:tr>
      <w:tr>
        <w:trPr>
          <w:cantSplit/>
        </w:trPr>
        <w:tc>
          <w:tcPr>
            <w:tcW w:type="dxa" w:w="33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L — Last oral intake</w:t>
            </w:r>
          </w:p>
        </w:tc>
        <w:tc>
          <w:tcPr>
            <w:tcW w:type="dxa" w:w="691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Last food or drink, and when. Not last known well.</w:t>
            </w:r>
          </w:p>
        </w:tc>
      </w:tr>
      <w:tr>
        <w:trPr>
          <w:cantSplit/>
        </w:trPr>
        <w:tc>
          <w:tcPr>
            <w:tcW w:type="dxa" w:w="33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E — Events</w:t>
            </w:r>
          </w:p>
        </w:tc>
        <w:tc>
          <w:tcPr>
            <w:tcW w:type="dxa" w:w="691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What led up to this illness.</w:t>
            </w:r>
          </w:p>
        </w:tc>
      </w:tr>
    </w:tbl>
    <w:p>
      <w:pPr>
        <w:spacing w:after="40"/>
      </w:pPr>
    </w:p>
    <w:tbl>
      <w:tblPr>
        <w:tblW w:type="auto" w:w="0"/>
        <w:tblLayout w:type="fixed"/>
        <w:tblLook w:firstColumn="1" w:firstRow="1" w:lastColumn="0" w:lastRow="0" w:noHBand="0" w:noVBand="1" w:val="04A0"/>
      </w:tblPr>
      <w:tblGrid>
        <w:gridCol w:w="9936"/>
      </w:tblGrid>
      <w:tr>
        <w:tc>
          <w:tcPr>
            <w:tcW w:type="dxa" w:w="9936"/>
            <w:shd w:val="clear" w:color="auto" w:fill="E7F3F3"/>
            <w:tcBorders>
              <w:top w:val="single" w:sz="4" w:space="0" w:color="D5DEE3"/>
              <w:left w:val="single" w:sz="4" w:space="0" w:color="D5DEE3"/>
              <w:bottom w:val="single" w:sz="4" w:space="0" w:color="D5DEE3"/>
              <w:right w:val="single" w:sz="4" w:space="0" w:color="D5DEE3"/>
            </w:tcBorders>
            <w:tcMar>
              <w:top w:w="60" w:type="dxa"/>
              <w:left w:w="120" w:type="dxa"/>
              <w:bottom w:w="60" w:type="dxa"/>
              <w:right w:w="120" w:type="dxa"/>
            </w:tcMar>
          </w:tcPr>
          <w:p>
            <w:pPr>
              <w:spacing w:after="40" w:before="0"/>
            </w:pPr>
            <w:r/>
            <w:r>
              <w:rPr>
                <w:rFonts w:ascii="Calibri" w:hAnsi="Calibri" w:cs="Calibri"/>
                <w:b/>
                <w:color w:val="1B3A4B"/>
                <w:sz w:val="22"/>
              </w:rPr>
              <w:t>Last known well is not a SAMPLE letter</w:t>
            </w:r>
          </w:p>
          <w:p>
            <w:pPr>
              <w:spacing w:after="0" w:before="0" w:line="259" w:lineRule="auto"/>
            </w:pPr>
            <w:r>
              <w:rPr>
                <w:rFonts w:ascii="Calibri" w:hAnsi="Calibri" w:cs="Calibri"/>
                <w:color w:val="333A42"/>
                <w:sz w:val="22"/>
              </w:rPr>
              <w:t>Last known well is the stroke clock: the last time someone can say the patient was at their baseline. It belongs in a stroke report. It does not replace medications, past history, last oral intake, or events.</w:t>
            </w:r>
          </w:p>
        </w:tc>
      </w:tr>
    </w:tbl>
    <w:p>
      <w:pPr>
        <w:spacing w:after="40"/>
      </w:pPr>
    </w:p>
    <w:p>
      <w:pPr>
        <w:spacing w:after="120" w:before="0" w:line="259" w:lineRule="auto"/>
      </w:pPr>
      <w:r>
        <w:rPr>
          <w:rFonts w:ascii="Calibri" w:hAnsi="Calibri" w:cs="Calibri"/>
          <w:b/>
          <w:color w:val="1B3A4B"/>
          <w:sz w:val="22"/>
        </w:rPr>
        <w:t xml:space="preserve">Pertinent negatives. </w:t>
      </w:r>
      <w:r>
        <w:rPr>
          <w:rFonts w:ascii="Calibri" w:hAnsi="Calibri" w:cs="Calibri"/>
          <w:color w:val="333A42"/>
          <w:sz w:val="22"/>
        </w:rPr>
        <w:t>Symptoms the patient specifically denies — no vomiting, no fever, no vaginal bleeding — belong in the report. They show what you considered. They are history, not objective exam findings, and they are not a new chief complaint.</w:t>
      </w:r>
    </w:p>
    <w:p>
      <w:pPr>
        <w:pStyle w:val="Heading2"/>
      </w:pPr>
      <w:r>
        <w:t>TACOS</w:t>
      </w:r>
    </w:p>
    <w:p>
      <w:pPr>
        <w:spacing w:after="120" w:before="0" w:line="259" w:lineRule="auto"/>
      </w:pPr>
      <w:r>
        <w:rPr>
          <w:rFonts w:ascii="Calibri" w:hAnsi="Calibri" w:cs="Calibri"/>
          <w:color w:val="333A42"/>
          <w:sz w:val="22"/>
        </w:rPr>
        <w:t>Substances that change how a medical patient looks, and that patients forget to call “medications.”</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172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Letter</w:t>
            </w:r>
          </w:p>
        </w:tc>
        <w:tc>
          <w:tcPr>
            <w:tcW w:type="dxa" w:w="8496"/>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Ask about</w:t>
            </w:r>
          </w:p>
        </w:tc>
      </w:tr>
      <w:tr>
        <w:trPr>
          <w:cantSplit/>
        </w:trPr>
        <w:tc>
          <w:tcPr>
            <w:tcW w:type="dxa" w:w="17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w:t>
            </w:r>
          </w:p>
        </w:tc>
        <w:tc>
          <w:tcPr>
            <w:tcW w:type="dxa" w:w="84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Tobacco</w:t>
            </w:r>
          </w:p>
        </w:tc>
      </w:tr>
      <w:tr>
        <w:trPr>
          <w:cantSplit/>
        </w:trPr>
        <w:tc>
          <w:tcPr>
            <w:tcW w:type="dxa" w:w="17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w:t>
            </w:r>
          </w:p>
        </w:tc>
        <w:tc>
          <w:tcPr>
            <w:tcW w:type="dxa" w:w="84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Alcohol</w:t>
            </w:r>
          </w:p>
        </w:tc>
      </w:tr>
      <w:tr>
        <w:trPr>
          <w:cantSplit/>
        </w:trPr>
        <w:tc>
          <w:tcPr>
            <w:tcW w:type="dxa" w:w="17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C</w:t>
            </w:r>
          </w:p>
        </w:tc>
        <w:tc>
          <w:tcPr>
            <w:tcW w:type="dxa" w:w="84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Caffeine</w:t>
            </w:r>
          </w:p>
        </w:tc>
      </w:tr>
      <w:tr>
        <w:trPr>
          <w:cantSplit/>
        </w:trPr>
        <w:tc>
          <w:tcPr>
            <w:tcW w:type="dxa" w:w="17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O</w:t>
            </w:r>
          </w:p>
        </w:tc>
        <w:tc>
          <w:tcPr>
            <w:tcW w:type="dxa" w:w="84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Over-the-counter medicines and herbal supplements</w:t>
            </w:r>
          </w:p>
        </w:tc>
      </w:tr>
      <w:tr>
        <w:trPr>
          <w:cantSplit/>
        </w:trPr>
        <w:tc>
          <w:tcPr>
            <w:tcW w:type="dxa" w:w="17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w:t>
            </w:r>
          </w:p>
        </w:tc>
        <w:tc>
          <w:tcPr>
            <w:tcW w:type="dxa" w:w="84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Sexual and street drugs</w:t>
            </w:r>
          </w:p>
        </w:tc>
      </w:tr>
    </w:tbl>
    <w:p>
      <w:pPr>
        <w:spacing w:after="40"/>
      </w:pPr>
    </w:p>
    <w:p>
      <w:pPr>
        <w:pStyle w:val="Heading1"/>
      </w:pPr>
      <w:r>
        <w:t>The exam and the numbers</w:t>
      </w:r>
    </w:p>
    <w:p>
      <w:pPr>
        <w:spacing w:after="120" w:before="0" w:line="259" w:lineRule="auto"/>
      </w:pPr>
      <w:r>
        <w:rPr>
          <w:rFonts w:ascii="Calibri" w:hAnsi="Calibri" w:cs="Calibri"/>
          <w:color w:val="333A42"/>
          <w:sz w:val="22"/>
        </w:rPr>
        <w:t>On an awake, stable medical patient, examine the systems that match the complaint. You still get a full set of vitals. A shotgun head-to-toe on every stable medical patient wastes the scene. Skip vitals for nobody.</w:t>
      </w:r>
    </w:p>
    <w:p>
      <w:pPr>
        <w:pStyle w:val="ListBullet"/>
        <w:spacing w:after="40" w:before="0" w:line="252" w:lineRule="auto"/>
      </w:pPr>
      <w:r>
        <w:rPr>
          <w:rFonts w:ascii="Calibri" w:hAnsi="Calibri" w:cs="Calibri"/>
          <w:color w:val="333A42"/>
          <w:sz w:val="22"/>
        </w:rPr>
        <w:t>Blood pressure, pulse (rate and quality), respirations (rate, depth, effort), skin, pupils.</w:t>
      </w:r>
    </w:p>
    <w:p>
      <w:pPr>
        <w:pStyle w:val="ListBullet"/>
        <w:spacing w:after="40" w:before="0" w:line="252" w:lineRule="auto"/>
      </w:pPr>
      <w:r>
        <w:rPr>
          <w:rFonts w:ascii="Calibri" w:hAnsi="Calibri" w:cs="Calibri"/>
          <w:color w:val="333A42"/>
          <w:sz w:val="22"/>
        </w:rPr>
        <w:t>Pulse oximetry. Trend it. One reading is not a reason to withhold oxygen from a hypoxic, sick patient.</w:t>
      </w:r>
    </w:p>
    <w:p>
      <w:pPr>
        <w:pStyle w:val="ListBullet"/>
        <w:spacing w:after="40" w:before="0" w:line="252" w:lineRule="auto"/>
      </w:pPr>
      <w:r>
        <w:rPr>
          <w:rFonts w:ascii="Calibri" w:hAnsi="Calibri" w:cs="Calibri"/>
          <w:color w:val="333A42"/>
          <w:sz w:val="22"/>
        </w:rPr>
        <w:t>Blood glucose for altered mental status or a seizure, even when nobody says the patient is diabetic. Hypoglycemia copies stroke, intoxication, and syncope.</w:t>
      </w:r>
    </w:p>
    <w:p>
      <w:pPr>
        <w:pStyle w:val="ListBullet"/>
        <w:spacing w:after="40" w:before="0" w:line="252" w:lineRule="auto"/>
      </w:pPr>
      <w:r>
        <w:rPr>
          <w:rFonts w:ascii="Calibri" w:hAnsi="Calibri" w:cs="Calibri"/>
          <w:color w:val="333A42"/>
          <w:sz w:val="22"/>
        </w:rPr>
        <w:t>Check the number, then treat what the number and the airway allow. Insulin use does not prove the sugar is low, and a combative patient may not safely swallow oral glucose.</w:t>
      </w:r>
    </w:p>
    <w:p>
      <w:pPr>
        <w:pStyle w:val="ListBullet"/>
        <w:spacing w:after="40" w:before="0" w:line="252" w:lineRule="auto"/>
      </w:pPr>
      <w:r>
        <w:rPr>
          <w:rFonts w:ascii="Calibri" w:hAnsi="Calibri" w:cs="Calibri"/>
          <w:color w:val="333A42"/>
          <w:sz w:val="22"/>
        </w:rPr>
        <w:t>Restraints and a behavioral label come after hypoxia and low sugar are off the table.</w:t>
      </w:r>
    </w:p>
    <w:p>
      <w:pPr>
        <w:pStyle w:val="Heading2"/>
      </w:pPr>
      <w:r>
        <w:t>Trending: narrowing pulse pressure</w:t>
      </w:r>
    </w:p>
    <w:p>
      <w:pPr>
        <w:spacing w:after="120" w:before="0" w:line="259" w:lineRule="auto"/>
      </w:pPr>
      <w:r>
        <w:rPr>
          <w:rFonts w:ascii="Calibri" w:hAnsi="Calibri" w:cs="Calibri"/>
          <w:color w:val="333A42"/>
          <w:sz w:val="22"/>
        </w:rPr>
        <w:t>Watch the series, not the first cuff. Example: 128/74, then 122/86, then 116/96, while the pulse climbs from 88 to 116. The diastolic is rising toward the systolic because vessels are clamping down to hold a pressure. Tachycardia plus a narrowing pulse pressure is compensated shock getting worse. It is not proof that oxygen is working, and it is not “normal variation from moving them on the cot.”</w:t>
      </w:r>
    </w:p>
    <w:p>
      <w:pPr>
        <w:pStyle w:val="Heading2"/>
      </w:pPr>
      <w:r>
        <w:t>Reassessment</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5184"/>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Patient</w:t>
            </w:r>
          </w:p>
        </w:tc>
        <w:tc>
          <w:tcPr>
            <w:tcW w:type="dxa" w:w="5040"/>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How often</w:t>
            </w:r>
          </w:p>
        </w:tc>
      </w:tr>
      <w:tr>
        <w:trPr>
          <w:cantSplit/>
        </w:trPr>
        <w:tc>
          <w:tcPr>
            <w:tcW w:type="dxa" w:w="518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Unstable (poor perfusion, respiratory failure, altered, hypotensive)</w:t>
            </w:r>
          </w:p>
        </w:tc>
        <w:tc>
          <w:tcPr>
            <w:tcW w:type="dxa" w:w="5040"/>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About every 5 minutes, and after each intervention</w:t>
            </w:r>
          </w:p>
        </w:tc>
      </w:tr>
      <w:tr>
        <w:trPr>
          <w:cantSplit/>
        </w:trPr>
        <w:tc>
          <w:tcPr>
            <w:tcW w:type="dxa" w:w="5184"/>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Stable</w:t>
            </w:r>
          </w:p>
        </w:tc>
        <w:tc>
          <w:tcPr>
            <w:tcW w:type="dxa" w:w="5040"/>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About every 15 minutes</w:t>
            </w:r>
          </w:p>
        </w:tc>
      </w:tr>
      <w:tr>
        <w:trPr>
          <w:cantSplit/>
        </w:trPr>
        <w:tc>
          <w:tcPr>
            <w:tcW w:type="dxa" w:w="518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Any patient you just treated</w:t>
            </w:r>
          </w:p>
        </w:tc>
        <w:tc>
          <w:tcPr>
            <w:tcW w:type="dxa" w:w="5040"/>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 fresh set of vitals to see if the treatment worked</w:t>
            </w:r>
          </w:p>
        </w:tc>
      </w:tr>
    </w:tbl>
    <w:p>
      <w:pPr>
        <w:spacing w:after="40"/>
      </w:pPr>
    </w:p>
    <w:p>
      <w:pPr>
        <w:spacing w:after="120" w:before="0" w:line="259" w:lineRule="auto"/>
      </w:pPr>
      <w:r>
        <w:rPr>
          <w:rFonts w:ascii="Calibri" w:hAnsi="Calibri" w:cs="Calibri"/>
          <w:color w:val="333A42"/>
          <w:sz w:val="22"/>
        </w:rPr>
        <w:t>On a 22-minute transport of a hypotensive medical patient, “once at the door” and “every 15 because the ride is short” both miss the crash. Repeat the primary survey, the complaint, and the vitals. A monitor alarm is not a reassessment.</w:t>
      </w:r>
    </w:p>
    <w:p>
      <w:pPr>
        <w:pStyle w:val="Heading1"/>
      </w:pPr>
      <w:r>
        <w:t>Time-critical medical problems</w:t>
      </w:r>
    </w:p>
    <w:p>
      <w:pPr>
        <w:spacing w:after="120" w:before="0" w:line="259" w:lineRule="auto"/>
      </w:pPr>
      <w:r>
        <w:rPr>
          <w:rFonts w:ascii="Calibri" w:hAnsi="Calibri" w:cs="Calibri"/>
          <w:color w:val="333A42"/>
          <w:sz w:val="22"/>
        </w:rPr>
        <w:t>These get a short scene, early hospital notification, and a destination that can actually treat them:</w:t>
      </w:r>
    </w:p>
    <w:p>
      <w:pPr>
        <w:pStyle w:val="ListBullet"/>
        <w:spacing w:after="40" w:before="0" w:line="252" w:lineRule="auto"/>
      </w:pPr>
      <w:r>
        <w:rPr>
          <w:rFonts w:ascii="Calibri" w:hAnsi="Calibri" w:cs="Calibri"/>
          <w:color w:val="333A42"/>
          <w:sz w:val="22"/>
        </w:rPr>
        <w:t>Suspected stroke, with a real last-known-well time.</w:t>
      </w:r>
    </w:p>
    <w:p>
      <w:pPr>
        <w:pStyle w:val="ListBullet"/>
        <w:spacing w:after="40" w:before="0" w:line="252" w:lineRule="auto"/>
      </w:pPr>
      <w:r>
        <w:rPr>
          <w:rFonts w:ascii="Calibri" w:hAnsi="Calibri" w:cs="Calibri"/>
          <w:color w:val="333A42"/>
          <w:sz w:val="22"/>
        </w:rPr>
        <w:t>Suspected STEMI or acute coronary syndrome.</w:t>
      </w:r>
    </w:p>
    <w:p>
      <w:pPr>
        <w:pStyle w:val="ListBullet"/>
        <w:spacing w:after="40" w:before="0" w:line="252" w:lineRule="auto"/>
      </w:pPr>
      <w:r>
        <w:rPr>
          <w:rFonts w:ascii="Calibri" w:hAnsi="Calibri" w:cs="Calibri"/>
          <w:color w:val="333A42"/>
          <w:sz w:val="22"/>
        </w:rPr>
        <w:t>Sepsis.</w:t>
      </w:r>
    </w:p>
    <w:p>
      <w:pPr>
        <w:pStyle w:val="ListBullet"/>
        <w:spacing w:after="40" w:before="0" w:line="252" w:lineRule="auto"/>
      </w:pPr>
      <w:r>
        <w:rPr>
          <w:rFonts w:ascii="Calibri" w:hAnsi="Calibri" w:cs="Calibri"/>
          <w:color w:val="333A42"/>
          <w:sz w:val="22"/>
        </w:rPr>
        <w:t>Anaphylaxis.</w:t>
      </w:r>
    </w:p>
    <w:p>
      <w:pPr>
        <w:spacing w:after="120" w:before="0" w:line="259" w:lineRule="auto"/>
      </w:pPr>
      <w:r>
        <w:rPr>
          <w:rFonts w:ascii="Calibri" w:hAnsi="Calibri" w:cs="Calibri"/>
          <w:color w:val="333A42"/>
          <w:sz w:val="22"/>
        </w:rPr>
        <w:t>Notification is what opens the CT scanner, the cath lab, or an airway team. A stable ankle sprain, a nosebleed that has already stopped, and three weeks of low-back pain are not that clock.</w:t>
      </w:r>
    </w:p>
    <w:p>
      <w:pPr>
        <w:pStyle w:val="Heading2"/>
      </w:pPr>
      <w:r>
        <w:t>Sepsis, the pattern to recognize here</w:t>
      </w:r>
    </w:p>
    <w:p>
      <w:pPr>
        <w:spacing w:after="120" w:before="0" w:line="259" w:lineRule="auto"/>
      </w:pPr>
      <w:r>
        <w:rPr>
          <w:rFonts w:ascii="Calibri" w:hAnsi="Calibri" w:cs="Calibri"/>
          <w:color w:val="333A42"/>
          <w:sz w:val="22"/>
        </w:rPr>
        <w:t>Infection history (fever and a productive cough, or a urinary infection in an older adult), drowsy, hot flushed skin, low blood pressure, fast weak pulse, fast shallow breathing, low oxygen saturation. That is distributive shock from sepsis.</w:t>
      </w:r>
    </w:p>
    <w:p>
      <w:pPr>
        <w:spacing w:after="120" w:before="0" w:line="259" w:lineRule="auto"/>
      </w:pPr>
      <w:r>
        <w:rPr>
          <w:rFonts w:ascii="Calibri" w:hAnsi="Calibri" w:cs="Calibri"/>
          <w:color w:val="333A42"/>
          <w:sz w:val="22"/>
        </w:rPr>
        <w:t>High-concentration oxygen, supine, keep them warm, transport. Do not finish a full secondary exam before treatment. Do not sit them upright and have them sip water while the fever breaks. Support ABCs. This is not dementia, and it is not an oral-glucose call.</w:t>
      </w:r>
    </w:p>
    <w:p>
      <w:pPr>
        <w:pStyle w:val="Heading1"/>
      </w:pPr>
      <w:r>
        <w:t>Transport and ALS</w:t>
      </w:r>
    </w:p>
    <w:p>
      <w:pPr>
        <w:spacing w:after="120" w:before="0" w:line="259" w:lineRule="auto"/>
      </w:pPr>
      <w:r>
        <w:rPr>
          <w:rFonts w:ascii="Calibri" w:hAnsi="Calibri" w:cs="Calibri"/>
          <w:color w:val="333A42"/>
          <w:sz w:val="22"/>
        </w:rPr>
        <w:t>If you are half an hour from the hospital with a patient in respiratory distress who is still hypoxic on a nonrebreather, and ALS is a few minutes away: start toward the hospital and arrange the intercept on the way.</w:t>
      </w:r>
    </w:p>
    <w:p>
      <w:pPr>
        <w:pStyle w:val="ListBullet"/>
        <w:spacing w:after="40" w:before="0" w:line="252" w:lineRule="auto"/>
      </w:pPr>
      <w:r>
        <w:rPr>
          <w:rFonts w:ascii="Calibri" w:hAnsi="Calibri" w:cs="Calibri"/>
          <w:color w:val="333A42"/>
          <w:sz w:val="22"/>
        </w:rPr>
        <w:t>Waiting on scene spends the same minutes and gains no ground toward definitive care.</w:t>
      </w:r>
    </w:p>
    <w:p>
      <w:pPr>
        <w:pStyle w:val="ListBullet"/>
        <w:spacing w:after="40" w:before="0" w:line="252" w:lineRule="auto"/>
      </w:pPr>
      <w:r>
        <w:rPr>
          <w:rFonts w:ascii="Calibri" w:hAnsi="Calibri" w:cs="Calibri"/>
          <w:color w:val="333A42"/>
          <w:sz w:val="22"/>
        </w:rPr>
        <w:t>Driving past the ALS unit gives up a level of care this patient needs.</w:t>
      </w:r>
    </w:p>
    <w:p>
      <w:pPr>
        <w:pStyle w:val="ListBullet"/>
        <w:spacing w:after="40" w:before="0" w:line="252" w:lineRule="auto"/>
      </w:pPr>
      <w:r>
        <w:rPr>
          <w:rFonts w:ascii="Calibri" w:hAnsi="Calibri" w:cs="Calibri"/>
          <w:color w:val="333A42"/>
          <w:sz w:val="22"/>
        </w:rPr>
        <w:t>Canceling ALS because oxygen and positioning are in your scope leaves a failing patient without help you cannot provide.</w:t>
      </w:r>
    </w:p>
    <w:p>
      <w:pPr>
        <w:pStyle w:val="Heading1"/>
      </w:pPr>
      <w:r>
        <w:t>Infectious disease and PPE</w:t>
      </w:r>
    </w:p>
    <w:p>
      <w:pPr>
        <w:spacing w:after="120" w:before="0" w:line="259" w:lineRule="auto"/>
      </w:pPr>
      <w:r>
        <w:rPr>
          <w:rFonts w:ascii="Calibri" w:hAnsi="Calibri" w:cs="Calibri"/>
          <w:color w:val="333A42"/>
          <w:sz w:val="22"/>
        </w:rPr>
        <w:t>A common infectious picture is fever together with nausea, rash, or shortness of breath. Your protection is based on how the germ travels, not on whether you know the name of it yet.</w:t>
      </w:r>
    </w:p>
    <w:tbl>
      <w:tblPr>
        <w:tblW w:type="auto" w:w="0"/>
        <w:tblLayout w:type="fixed"/>
        <w:tblLook w:firstColumn="1" w:firstRow="1" w:lastColumn="0" w:lastRow="0" w:noHBand="0" w:noVBand="1" w:val="04A0"/>
        <w:tblW w:w="10224" w:type="dxa"/>
      </w:tblPr>
      <w:tblGrid>
        <w:gridCol w:w="3312"/>
        <w:gridCol w:w="3312"/>
        <w:gridCol w:w="3312"/>
      </w:tblGrid>
      <w:tr>
        <w:trPr>
          <w:cantSplit/>
        </w:trPr>
        <w:tc>
          <w:tcPr>
            <w:tcW w:type="dxa" w:w="1872"/>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Route</w:t>
            </w:r>
          </w:p>
        </w:tc>
        <w:tc>
          <w:tcPr>
            <w:tcW w:type="dxa" w:w="388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How it moves</w:t>
            </w:r>
          </w:p>
        </w:tc>
        <w:tc>
          <w:tcPr>
            <w:tcW w:type="dxa" w:w="4464"/>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EMT examples</w:t>
            </w:r>
          </w:p>
        </w:tc>
      </w:tr>
      <w:tr>
        <w:trPr>
          <w:cantSplit/>
        </w:trPr>
        <w:tc>
          <w:tcPr>
            <w:tcW w:type="dxa" w:w="187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Contact</w:t>
            </w:r>
          </w:p>
        </w:tc>
        <w:tc>
          <w:tcPr>
            <w:tcW w:type="dxa" w:w="388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Touch, or a contaminated surface</w:t>
            </w:r>
          </w:p>
        </w:tc>
        <w:tc>
          <w:tcPr>
            <w:tcW w:type="dxa" w:w="446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MRSA, some hepatitis</w:t>
            </w:r>
          </w:p>
        </w:tc>
      </w:tr>
      <w:tr>
        <w:trPr>
          <w:cantSplit/>
        </w:trPr>
        <w:tc>
          <w:tcPr>
            <w:tcW w:type="dxa" w:w="187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Droplet</w:t>
            </w:r>
          </w:p>
        </w:tc>
        <w:tc>
          <w:tcPr>
            <w:tcW w:type="dxa" w:w="388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Cough and sneeze, short range</w:t>
            </w:r>
          </w:p>
        </w:tc>
        <w:tc>
          <w:tcPr>
            <w:tcW w:type="dxa" w:w="4464"/>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Influenza, pertussis, meningococcus, many pneumonias</w:t>
            </w:r>
          </w:p>
        </w:tc>
      </w:tr>
      <w:tr>
        <w:trPr>
          <w:cantSplit/>
        </w:trPr>
        <w:tc>
          <w:tcPr>
            <w:tcW w:type="dxa" w:w="1872"/>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Airborne</w:t>
            </w:r>
          </w:p>
        </w:tc>
        <w:tc>
          <w:tcPr>
            <w:tcW w:type="dxa" w:w="388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Stays suspended in the air</w:t>
            </w:r>
          </w:p>
        </w:tc>
        <w:tc>
          <w:tcPr>
            <w:tcW w:type="dxa" w:w="4464"/>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Tuberculosis — respirator, not a surgical mask alone</w:t>
            </w:r>
          </w:p>
        </w:tc>
      </w:tr>
      <w:tr>
        <w:trPr>
          <w:cantSplit/>
        </w:trPr>
        <w:tc>
          <w:tcPr>
            <w:tcW w:type="dxa" w:w="1872"/>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Other</w:t>
            </w:r>
          </w:p>
        </w:tc>
        <w:tc>
          <w:tcPr>
            <w:tcW w:type="dxa" w:w="388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Food, water, or a vector</w:t>
            </w:r>
          </w:p>
        </w:tc>
        <w:tc>
          <w:tcPr>
            <w:tcW w:type="dxa" w:w="4464"/>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Hepatitis A (fecal-oral)</w:t>
            </w:r>
          </w:p>
        </w:tc>
      </w:tr>
    </w:tbl>
    <w:p>
      <w:pPr>
        <w:spacing w:after="40"/>
      </w:pPr>
    </w:p>
    <w:tbl>
      <w:tblPr>
        <w:tblW w:type="auto" w:w="0"/>
        <w:tblLayout w:type="fixed"/>
        <w:tblLook w:firstColumn="1" w:firstRow="1" w:lastColumn="0" w:lastRow="0" w:noHBand="0" w:noVBand="1" w:val="04A0"/>
      </w:tblPr>
      <w:tblGrid>
        <w:gridCol w:w="9936"/>
      </w:tblGrid>
      <w:tr>
        <w:tc>
          <w:tcPr>
            <w:tcW w:type="dxa" w:w="9936"/>
            <w:shd w:val="clear" w:color="auto" w:fill="FBF3E4"/>
            <w:tcBorders>
              <w:top w:val="single" w:sz="4" w:space="0" w:color="D5DEE3"/>
              <w:left w:val="single" w:sz="4" w:space="0" w:color="D5DEE3"/>
              <w:bottom w:val="single" w:sz="4" w:space="0" w:color="D5DEE3"/>
              <w:right w:val="single" w:sz="4" w:space="0" w:color="D5DEE3"/>
            </w:tcBorders>
            <w:tcMar>
              <w:top w:w="60" w:type="dxa"/>
              <w:left w:w="120" w:type="dxa"/>
              <w:bottom w:w="60" w:type="dxa"/>
              <w:right w:w="120" w:type="dxa"/>
            </w:tcMar>
          </w:tcPr>
          <w:p>
            <w:pPr>
              <w:spacing w:after="40" w:before="0"/>
            </w:pPr>
            <w:r/>
            <w:r>
              <w:rPr>
                <w:rFonts w:ascii="Calibri" w:hAnsi="Calibri" w:cs="Calibri"/>
                <w:b/>
                <w:color w:val="1B3A4B"/>
                <w:sz w:val="22"/>
              </w:rPr>
              <w:t>Suctioning a coughing patient</w:t>
            </w:r>
          </w:p>
          <w:p>
            <w:pPr>
              <w:spacing w:after="0" w:before="0" w:line="259" w:lineRule="auto"/>
            </w:pPr>
            <w:r>
              <w:rPr>
                <w:rFonts w:ascii="Calibri" w:hAnsi="Calibri" w:cs="Calibri"/>
                <w:color w:val="333A42"/>
                <w:sz w:val="22"/>
              </w:rPr>
              <w:t>Suctioning is a splash-and-droplet job. Gloves, eye protection, and a mask. Gloves alone are not enough, and the patient’s own mask cannot stay on while you are in the airway.</w:t>
            </w:r>
          </w:p>
        </w:tc>
      </w:tr>
    </w:tbl>
    <w:p>
      <w:pPr>
        <w:spacing w:after="40"/>
      </w:pPr>
    </w:p>
    <w:tbl>
      <w:tblPr>
        <w:tblW w:type="auto" w:w="0"/>
        <w:tblLayout w:type="fixed"/>
        <w:tblLook w:firstColumn="1" w:firstRow="1" w:lastColumn="0" w:lastRow="0" w:noHBand="0" w:noVBand="1" w:val="04A0"/>
        <w:tblW w:w="10224" w:type="dxa"/>
      </w:tblPr>
      <w:tblGrid>
        <w:gridCol w:w="4968"/>
        <w:gridCol w:w="4968"/>
      </w:tblGrid>
      <w:tr>
        <w:trPr>
          <w:cantSplit/>
        </w:trPr>
        <w:tc>
          <w:tcPr>
            <w:tcW w:type="dxa" w:w="244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Illness</w:t>
            </w:r>
          </w:p>
        </w:tc>
        <w:tc>
          <w:tcPr>
            <w:tcW w:type="dxa" w:w="7776"/>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Anchor it to this</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Hepatitis A</w:t>
            </w:r>
          </w:p>
        </w:tc>
        <w:tc>
          <w:tcPr>
            <w:tcW w:type="dxa" w:w="77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Fecal-oral. Vaccine exists.</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Hepatitis B</w:t>
            </w:r>
          </w:p>
        </w:tc>
        <w:tc>
          <w:tcPr>
            <w:tcW w:type="dxa" w:w="77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Blood and body fluids. Vaccine exists. Virus survives on surfaces.</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Hepatitis C</w:t>
            </w:r>
          </w:p>
        </w:tc>
        <w:tc>
          <w:tcPr>
            <w:tcW w:type="dxa" w:w="77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Blood. Often silent, often chronic. No routine vaccine.</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HIV</w:t>
            </w:r>
          </w:p>
        </w:tc>
        <w:tc>
          <w:tcPr>
            <w:tcW w:type="dxa" w:w="77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Blood and certain body fluids. Standard precautions. Not spread by casual contact.</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Tuberculosis</w:t>
            </w:r>
          </w:p>
        </w:tc>
        <w:tc>
          <w:tcPr>
            <w:tcW w:type="dxa" w:w="77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Cough, night sweats, weight loss, sometimes bloody sputum. Airborne precautions.</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Meningitis</w:t>
            </w:r>
          </w:p>
        </w:tc>
        <w:tc>
          <w:tcPr>
            <w:tcW w:type="dxa" w:w="77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Fever, headache, stiff neck, altered mental status. Droplet precautions. Close quarters matter.</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MRSA</w:t>
            </w:r>
          </w:p>
        </w:tc>
        <w:tc>
          <w:tcPr>
            <w:tcW w:type="dxa" w:w="77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Resistant staph, often a skin infection. Contact precautions.</w:t>
            </w:r>
          </w:p>
        </w:tc>
      </w:tr>
      <w:tr>
        <w:trPr>
          <w:cantSplit/>
        </w:trPr>
        <w:tc>
          <w:tcPr>
            <w:tcW w:type="dxa" w:w="244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Pertussis</w:t>
            </w:r>
          </w:p>
        </w:tc>
        <w:tc>
          <w:tcPr>
            <w:tcW w:type="dxa" w:w="777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Coughing fits that can end in vomiting. Droplet precautions.</w:t>
            </w:r>
          </w:p>
        </w:tc>
      </w:tr>
      <w:tr>
        <w:trPr>
          <w:cantSplit/>
        </w:trPr>
        <w:tc>
          <w:tcPr>
            <w:tcW w:type="dxa" w:w="244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Influenza</w:t>
            </w:r>
          </w:p>
        </w:tc>
        <w:tc>
          <w:tcPr>
            <w:tcW w:type="dxa" w:w="777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Fever, body aches, respiratory symptoms. Droplet precautions.</w:t>
            </w:r>
          </w:p>
        </w:tc>
      </w:tr>
    </w:tbl>
    <w:p>
      <w:pPr>
        <w:spacing w:after="40"/>
      </w:pPr>
    </w:p>
    <w:p>
      <w:pPr>
        <w:spacing w:after="120" w:before="0" w:line="259" w:lineRule="auto"/>
      </w:pPr>
      <w:r>
        <w:rPr>
          <w:rFonts w:ascii="Calibri" w:hAnsi="Calibri" w:cs="Calibri"/>
          <w:color w:val="333A42"/>
          <w:sz w:val="22"/>
        </w:rPr>
        <w:t>If you are exposed: stop, wash, and report it through the department exposure plan on that shift. Do not decide on your own that the risk was too small to mention.</w:t>
      </w:r>
    </w:p>
    <w:p>
      <w:pPr>
        <w:pStyle w:val="Heading1"/>
      </w:pPr>
      <w:r>
        <w:t>Field sequence you can run</w:t>
      </w:r>
    </w:p>
    <w:p>
      <w:pPr>
        <w:pStyle w:val="ListBullet"/>
        <w:spacing w:after="40" w:before="0" w:line="252" w:lineRule="auto"/>
      </w:pPr>
      <w:r>
        <w:rPr>
          <w:rFonts w:ascii="Calibri" w:hAnsi="Calibri" w:cs="Calibri"/>
          <w:color w:val="333A42"/>
          <w:sz w:val="22"/>
        </w:rPr>
        <w:t>Scene safe? Right PPE on? What is the NOI, and do you need ALS or another resource?</w:t>
      </w:r>
    </w:p>
    <w:p>
      <w:pPr>
        <w:pStyle w:val="ListBullet"/>
        <w:spacing w:after="40" w:before="0" w:line="252" w:lineRule="auto"/>
      </w:pPr>
      <w:r>
        <w:rPr>
          <w:rFonts w:ascii="Calibri" w:hAnsi="Calibri" w:cs="Calibri"/>
          <w:color w:val="333A42"/>
          <w:sz w:val="22"/>
        </w:rPr>
        <w:t>Sick or not sick from the doorway. Life threats in the primary survey, treated as you find them.</w:t>
      </w:r>
    </w:p>
    <w:p>
      <w:pPr>
        <w:pStyle w:val="ListBullet"/>
        <w:spacing w:after="40" w:before="0" w:line="252" w:lineRule="auto"/>
      </w:pPr>
      <w:r>
        <w:rPr>
          <w:rFonts w:ascii="Calibri" w:hAnsi="Calibri" w:cs="Calibri"/>
          <w:color w:val="333A42"/>
          <w:sz w:val="22"/>
        </w:rPr>
        <w:t>Awake: chief complaint, OPQRST, SAMPLE, focused exam, vitals, SpO2, glucose if the mind is not right.</w:t>
      </w:r>
    </w:p>
    <w:p>
      <w:pPr>
        <w:pStyle w:val="ListBullet"/>
        <w:spacing w:after="40" w:before="0" w:line="252" w:lineRule="auto"/>
      </w:pPr>
      <w:r>
        <w:rPr>
          <w:rFonts w:ascii="Calibri" w:hAnsi="Calibri" w:cs="Calibri"/>
          <w:color w:val="333A42"/>
          <w:sz w:val="22"/>
        </w:rPr>
        <w:t>Unresponsive: airway and breathing, rapid head-to-toe, glucose, vitals, history from whoever is there.</w:t>
      </w:r>
    </w:p>
    <w:p>
      <w:pPr>
        <w:pStyle w:val="ListBullet"/>
        <w:spacing w:after="40" w:before="0" w:line="252" w:lineRule="auto"/>
      </w:pPr>
      <w:r>
        <w:rPr>
          <w:rFonts w:ascii="Calibri" w:hAnsi="Calibri" w:cs="Calibri"/>
          <w:color w:val="333A42"/>
          <w:sz w:val="22"/>
        </w:rPr>
        <w:t>Name the time-critical problems out loud (stroke, heart, sepsis, anaphylaxis) and notify early.</w:t>
      </w:r>
    </w:p>
    <w:p>
      <w:pPr>
        <w:pStyle w:val="ListBullet"/>
        <w:spacing w:after="40" w:before="0" w:line="252" w:lineRule="auto"/>
      </w:pPr>
      <w:r>
        <w:rPr>
          <w:rFonts w:ascii="Calibri" w:hAnsi="Calibri" w:cs="Calibri"/>
          <w:color w:val="333A42"/>
          <w:sz w:val="22"/>
        </w:rPr>
        <w:t>Hypotensive shock: oxygen as needed, supine, warm, move. Respiratory failure from fluid in the lungs is a different position problem — that patient sits up (Ch. 16 and 17).</w:t>
      </w:r>
    </w:p>
    <w:p>
      <w:pPr>
        <w:pStyle w:val="ListBullet"/>
        <w:spacing w:after="40" w:before="0" w:line="252" w:lineRule="auto"/>
      </w:pPr>
      <w:r>
        <w:rPr>
          <w:rFonts w:ascii="Calibri" w:hAnsi="Calibri" w:cs="Calibri"/>
          <w:color w:val="333A42"/>
          <w:sz w:val="22"/>
        </w:rPr>
        <w:t>Reassess on the clock. Unstable every 5 minutes. Say in the report what changed.</w:t>
      </w:r>
    </w:p>
    <w:p>
      <w:pPr>
        <w:pStyle w:val="Heading1"/>
      </w:pPr>
      <w:r>
        <w:t>Traps</w:t>
      </w:r>
    </w:p>
    <w:p>
      <w:pPr>
        <w:pStyle w:val="ListBullet"/>
        <w:spacing w:after="40" w:before="0" w:line="252" w:lineRule="auto"/>
      </w:pPr>
      <w:r>
        <w:rPr>
          <w:rFonts w:ascii="Calibri" w:hAnsi="Calibri" w:cs="Calibri"/>
          <w:color w:val="333A42"/>
          <w:sz w:val="22"/>
        </w:rPr>
        <w:t>Running a full head-to-toe on every awake medical patient, or skipping it on the unresponsive one.</w:t>
      </w:r>
    </w:p>
    <w:p>
      <w:pPr>
        <w:pStyle w:val="ListBullet"/>
        <w:spacing w:after="40" w:before="0" w:line="252" w:lineRule="auto"/>
      </w:pPr>
      <w:r>
        <w:rPr>
          <w:rFonts w:ascii="Calibri" w:hAnsi="Calibri" w:cs="Calibri"/>
          <w:color w:val="333A42"/>
          <w:sz w:val="22"/>
        </w:rPr>
        <w:t>Treating altered mental status as a psych or alcohol call before glucose and oxygen.</w:t>
      </w:r>
    </w:p>
    <w:p>
      <w:pPr>
        <w:pStyle w:val="ListBullet"/>
        <w:spacing w:after="40" w:before="0" w:line="252" w:lineRule="auto"/>
      </w:pPr>
      <w:r>
        <w:rPr>
          <w:rFonts w:ascii="Calibri" w:hAnsi="Calibri" w:cs="Calibri"/>
          <w:color w:val="333A42"/>
          <w:sz w:val="22"/>
        </w:rPr>
        <w:t>Assuming insulin means hypoglycemia and pouring oral glucose in before a reading.</w:t>
      </w:r>
    </w:p>
    <w:p>
      <w:pPr>
        <w:pStyle w:val="ListBullet"/>
        <w:spacing w:after="40" w:before="0" w:line="252" w:lineRule="auto"/>
      </w:pPr>
      <w:r>
        <w:rPr>
          <w:rFonts w:ascii="Calibri" w:hAnsi="Calibri" w:cs="Calibri"/>
          <w:color w:val="333A42"/>
          <w:sz w:val="22"/>
        </w:rPr>
        <w:t>Calling last known well part of SAMPLE.</w:t>
      </w:r>
    </w:p>
    <w:p>
      <w:pPr>
        <w:pStyle w:val="ListBullet"/>
        <w:spacing w:after="40" w:before="0" w:line="252" w:lineRule="auto"/>
      </w:pPr>
      <w:r>
        <w:rPr>
          <w:rFonts w:ascii="Calibri" w:hAnsi="Calibri" w:cs="Calibri"/>
          <w:color w:val="333A42"/>
          <w:sz w:val="22"/>
        </w:rPr>
        <w:t>Reading OPQRST “P” as pulse or as past history. Past history is the P in SAMPLE. Provocation is the P in OPQRST.</w:t>
      </w:r>
    </w:p>
    <w:p>
      <w:pPr>
        <w:pStyle w:val="ListBullet"/>
        <w:spacing w:after="40" w:before="0" w:line="252" w:lineRule="auto"/>
      </w:pPr>
      <w:r>
        <w:rPr>
          <w:rFonts w:ascii="Calibri" w:hAnsi="Calibri" w:cs="Calibri"/>
          <w:color w:val="333A42"/>
          <w:sz w:val="22"/>
        </w:rPr>
        <w:t>Trusting a pulse ox in a suspected carbon-monoxide scene.</w:t>
      </w:r>
    </w:p>
    <w:p>
      <w:pPr>
        <w:pStyle w:val="ListBullet"/>
        <w:spacing w:after="40" w:before="0" w:line="252" w:lineRule="auto"/>
      </w:pPr>
      <w:r>
        <w:rPr>
          <w:rFonts w:ascii="Calibri" w:hAnsi="Calibri" w:cs="Calibri"/>
          <w:color w:val="333A42"/>
          <w:sz w:val="22"/>
        </w:rPr>
        <w:t>Working a toxic atmosphere (closed garage, running engine) before moving the patient to fresh air.</w:t>
      </w:r>
    </w:p>
    <w:p>
      <w:pPr>
        <w:pStyle w:val="ListBullet"/>
        <w:spacing w:after="40" w:before="0" w:line="252" w:lineRule="auto"/>
      </w:pPr>
      <w:r>
        <w:rPr>
          <w:rFonts w:ascii="Calibri" w:hAnsi="Calibri" w:cs="Calibri"/>
          <w:color w:val="333A42"/>
          <w:sz w:val="22"/>
        </w:rPr>
        <w:t>Reassessing an unstable patient every 15 minutes because the transport “is not that long.”</w:t>
      </w:r>
    </w:p>
    <w:p>
      <w:pPr>
        <w:pStyle w:val="ListBullet"/>
        <w:spacing w:after="40" w:before="0" w:line="252" w:lineRule="auto"/>
      </w:pPr>
      <w:r>
        <w:rPr>
          <w:rFonts w:ascii="Calibri" w:hAnsi="Calibri" w:cs="Calibri"/>
          <w:color w:val="333A42"/>
          <w:sz w:val="22"/>
        </w:rPr>
        <w:t>Ignoring a narrowing pulse pressure because the systolic is still above 100.</w:t>
      </w:r>
    </w:p>
    <w:p>
      <w:pPr>
        <w:pStyle w:val="ListBullet"/>
        <w:spacing w:after="40" w:before="0" w:line="252" w:lineRule="auto"/>
      </w:pPr>
      <w:r>
        <w:rPr>
          <w:rFonts w:ascii="Calibri" w:hAnsi="Calibri" w:cs="Calibri"/>
          <w:color w:val="333A42"/>
          <w:sz w:val="22"/>
        </w:rPr>
        <w:t>Leaving pertinent negatives out of the narrative.</w:t>
      </w:r>
    </w:p>
    <w:p>
      <w:pPr>
        <w:pStyle w:val="ListBullet"/>
        <w:spacing w:after="40" w:before="0" w:line="252" w:lineRule="auto"/>
      </w:pPr>
      <w:r>
        <w:rPr>
          <w:rFonts w:ascii="Calibri" w:hAnsi="Calibri" w:cs="Calibri"/>
          <w:color w:val="333A42"/>
          <w:sz w:val="22"/>
        </w:rPr>
        <w:t>Waiting on scene for ALS when you could be moving and meeting them.</w:t>
      </w:r>
    </w:p>
    <w:p>
      <w:pPr>
        <w:pStyle w:val="ListBullet"/>
        <w:spacing w:after="40" w:before="0" w:line="252" w:lineRule="auto"/>
      </w:pPr>
      <w:r>
        <w:rPr>
          <w:rFonts w:ascii="Calibri" w:hAnsi="Calibri" w:cs="Calibri"/>
          <w:color w:val="333A42"/>
          <w:sz w:val="22"/>
        </w:rPr>
        <w:t>Suctioning with gloves only.</w:t>
      </w:r>
    </w:p>
    <w:p>
      <w:pPr>
        <w:pStyle w:val="ListBullet"/>
        <w:spacing w:after="40" w:before="0" w:line="252" w:lineRule="auto"/>
      </w:pPr>
      <w:r>
        <w:rPr>
          <w:rFonts w:ascii="Calibri" w:hAnsi="Calibri" w:cs="Calibri"/>
          <w:color w:val="333A42"/>
          <w:sz w:val="22"/>
        </w:rPr>
        <w:t>Forgetting to tell the hospital about stroke, STEMI, sepsis, or anaphylaxis before you arrive.</w:t>
      </w:r>
    </w:p>
    <w:p>
      <w:pPr>
        <w:pStyle w:val="Heading1"/>
      </w:pPr>
      <w:r>
        <w:t>Terms</w:t>
      </w:r>
    </w:p>
    <w:tbl>
      <w:tblPr>
        <w:tblW w:type="auto" w:w="0"/>
        <w:tblLayout w:type="fixed"/>
        <w:tblLook w:firstColumn="1" w:firstRow="1" w:lastColumn="0" w:lastRow="0" w:noHBand="0" w:noVBand="1" w:val="04A0"/>
        <w:tblW w:w="10224" w:type="dxa"/>
      </w:tblPr>
      <w:tblGrid>
        <w:gridCol w:w="4968"/>
        <w:gridCol w:w="4968"/>
      </w:tblGrid>
      <w:tr>
        <w:trPr>
          <w:cantSplit/>
        </w:trPr>
        <w:tc>
          <w:tcPr>
            <w:tcW w:type="dxa" w:w="3096"/>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Term</w:t>
            </w:r>
          </w:p>
        </w:tc>
        <w:tc>
          <w:tcPr>
            <w:tcW w:type="dxa" w:w="7128"/>
            <w:shd w:val="clear" w:color="auto" w:fill="1B3A4B"/>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FFFFFF"/>
                <w:sz w:val="21"/>
              </w:rPr>
              <w:t>Meaning</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Chief complaint</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Why they called, in their words when possible.</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NOI</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Nature of illness. The medical category. Trauma’s version is MOI.</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Index of suspicion</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Your working concern for a serious hidden problem, based on the patient in front of you.</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Focused exam</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Physical exam limited to systems that match the complaint.</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Pertinent negative</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A relevant symptom the patient denies. Document it.</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OPQRST</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History of this episode: onset, provocation/palliation, quality, region/radiation, severity, time.</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SAMPLE</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Signs/symptoms, allergies, medications, past history, last oral intake, events.</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TACOS</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Tobacco, alcohol, caffeine, OTC/herbals, sexual and street drugs.</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Trending vitals</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Serial sets compared over time, including after each treatment.</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Narrowing pulse pressure</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Diastolic rising toward systolic. With tachycardia, compensated shock.</w:t>
            </w:r>
          </w:p>
        </w:tc>
      </w:tr>
      <w:tr>
        <w:trPr>
          <w:cantSplit/>
        </w:trPr>
        <w:tc>
          <w:tcPr>
            <w:tcW w:type="dxa" w:w="3096"/>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Time-sensitive emergency</w:t>
            </w:r>
          </w:p>
        </w:tc>
        <w:tc>
          <w:tcPr>
            <w:tcW w:type="dxa" w:w="7128"/>
            <w:shd w:val="clear" w:color="auto" w:fill="FFFFFF"/>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Delay to the right hospital worsens the outcome: stroke, STEMI, sepsis, anaphylaxis.</w:t>
            </w:r>
          </w:p>
        </w:tc>
      </w:tr>
      <w:tr>
        <w:trPr>
          <w:cantSplit/>
        </w:trPr>
        <w:tc>
          <w:tcPr>
            <w:tcW w:type="dxa" w:w="3096"/>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color w:val="333A42"/>
                <w:sz w:val="21"/>
              </w:rPr>
              <w:t>Standard precautions</w:t>
            </w:r>
          </w:p>
        </w:tc>
        <w:tc>
          <w:tcPr>
            <w:tcW w:type="dxa" w:w="7128"/>
            <w:shd w:val="clear" w:color="auto" w:fill="F4F7F8"/>
            <w:tcBorders>
              <w:top w:val="single" w:sz="4" w:space="0" w:color="D5DEE3"/>
              <w:left w:val="single" w:sz="4" w:space="0" w:color="D5DEE3"/>
              <w:bottom w:val="single" w:sz="4" w:space="0" w:color="D5DEE3"/>
              <w:right w:val="single" w:sz="4" w:space="0" w:color="D5DEE3"/>
            </w:tcBorders>
            <w:tcMar>
              <w:top w:w="40" w:type="dxa"/>
              <w:left w:w="80" w:type="dxa"/>
              <w:bottom w:w="40" w:type="dxa"/>
              <w:right w:w="80" w:type="dxa"/>
            </w:tcMar>
          </w:tcPr>
          <w:p>
            <w:pPr>
              <w:spacing w:before="0" w:after="0" w:line="252" w:lineRule="auto"/>
            </w:pPr>
            <w:r/>
            <w:r>
              <w:rPr>
                <w:rFonts w:ascii="Calibri" w:hAnsi="Calibri" w:cs="Calibri"/>
                <w:b w:val="0"/>
                <w:color w:val="333A42"/>
                <w:sz w:val="21"/>
              </w:rPr>
              <w:t>PPE and habits you use on every patient, stepped up when splash, droplet, or airborne risk is real.</w:t>
            </w:r>
          </w:p>
        </w:tc>
      </w:tr>
    </w:tbl>
    <w:p>
      <w:pPr>
        <w:spacing w:after="40"/>
      </w:pPr>
    </w:p>
    <w:p>
      <w:pPr>
        <w:spacing w:before="160"/>
      </w:pPr>
      <w:r>
        <w:rPr>
          <w:rFonts w:ascii="Calibri" w:hAnsi="Calibri" w:cs="Calibri"/>
          <w:i/>
          <w:color w:val="5C676E"/>
          <w:sz w:val="20"/>
        </w:rPr>
        <w:t>Block II written also covers Chapters 16, 17, 18, 30, 31, and 32. Use this packet for the medical-call method, then the disease and trauma chapters for what the complaint turns into.</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pBdr>
        <w:top w:val="single" w:sz="8" w:space="1" w:color="D5DEE3"/>
      </w:pBdr>
    </w:pPr>
    <w:r>
      <w:rPr>
        <w:rFonts w:ascii="Calibri" w:hAnsi="Calibri" w:cs="Calibri"/>
        <w:color w:val="6B757A"/>
        <w:sz w:val="18"/>
      </w:rPr>
      <w:t>Chapter 15  ·  Medical Overview</w:t>
    </w:r>
    <w:r>
      <w:rPr>
        <w:rFonts w:ascii="Calibri" w:hAnsi="Calibri" w:cs="Calibri"/>
        <w:sz w:val="18"/>
      </w:rPr>
      <w:t xml:space="preserve">          </w:t>
    </w:r>
    <w:r>
      <w:fldChar w:fldCharType="begin"/>
    </w:r>
    <w:r>
      <w:rPr>
        <w:rFonts w:ascii="Calibri" w:hAnsi="Calibri" w:cs="Calibri"/>
        <w:color w:val="6B757A"/>
        <w:sz w:val="18"/>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B3A4B"/>
      </w:pBdr>
    </w:pPr>
    <w:r>
      <w:rPr>
        <w:rFonts w:ascii="Calibri" w:hAnsi="Calibri" w:cs="Calibri"/>
        <w:b/>
        <w:color w:val="0F6E6E"/>
        <w:sz w:val="18"/>
      </w:rPr>
      <w:t>KCEMS EMT  ·  Block II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333A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line="240" w:lineRule="auto"/>
      <w:outlineLvl w:val="0"/>
    </w:pPr>
    <w:rPr>
      <w:rFonts w:asciiTheme="majorHAnsi" w:eastAsiaTheme="majorEastAsia" w:hAnsiTheme="majorHAnsi" w:cstheme="majorBidi" w:ascii="Calibri" w:hAnsi="Calibri"/>
      <w:b/>
      <w:bCs/>
      <w:color w:val="1B3A4B"/>
      <w:sz w:val="32"/>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Calibri" w:hAnsi="Calibri"/>
      <w:b/>
      <w:bCs/>
      <w:color w:val="0F6E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