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BA181B"/>
          <w:sz w:val="22"/>
        </w:rPr>
        <w:t>KING COUNTY EMS TRAINING DIVISION • KCEMS-7CDE86</w:t>
        <w:br/>
      </w:r>
      <w:r>
        <w:rPr>
          <w:rFonts w:ascii="Calibri" w:hAnsi="Calibri"/>
          <w:b/>
          <w:color w:val="102C57"/>
          <w:sz w:val="40"/>
        </w:rPr>
        <w:t>BLOCK #3 MASTER LECTURE NOTES &amp; IN-CLASS QUIZ COMPENDIUM</w:t>
        <w:br/>
      </w:r>
      <w:r>
        <w:rPr>
          <w:rFonts w:ascii="Calibri" w:hAnsi="Calibri"/>
          <w:b/>
          <w:color w:val="212529"/>
          <w:sz w:val="26"/>
        </w:rPr>
        <w:t>Chapter 2: Workforce Safety &amp; Wellness • Chapter 9: The Team Approach to Health Care</w:t>
        <w:br/>
      </w:r>
      <w:r>
        <w:rPr>
          <w:rFonts w:ascii="Calibri" w:hAnsi="Calibri"/>
          <w:i/>
          <w:sz w:val="20"/>
        </w:rPr>
        <w:t>Lecture Date: Thursday, October 29, 2026 (18:00 – 22:00 hrs) | Tonight's Quiz Analysis Included</w:t>
      </w:r>
    </w:p>
    <w:p>
      <w:pPr>
        <w:spacing w:after="120"/>
      </w:pPr>
    </w:p>
    <w:tbl>
      <w:tblPr>
        <w:tblW w:type="auto" w:w="0"/>
        <w:jc w:val="center"/>
        <w:tblLayout w:type="fixed"/>
        <w:tblLook w:firstColumn="1" w:firstRow="1" w:lastColumn="0" w:lastRow="0" w:noHBand="0" w:noVBand="1" w:val="04A0"/>
      </w:tblPr>
      <w:tblGrid>
        <w:gridCol w:w="10080"/>
      </w:tblGrid>
      <w:tr>
        <w:tc>
          <w:tcPr>
            <w:tcW w:type="dxa" w:w="10080"/>
            <w:shd w:fill="EBF3FA"/>
            <w:tcMar>
              <w:top w:w="120" w:type="dxa"/>
              <w:bottom w:w="120" w:type="dxa"/>
              <w:left w:w="160" w:type="dxa"/>
              <w:right w:w="160" w:type="dxa"/>
            </w:tcMar>
          </w:tcPr>
          <w:p>
            <w:pPr>
              <w:spacing w:after="80"/>
            </w:pPr>
            <w:r>
              <w:rPr>
                <w:rFonts w:ascii="Calibri" w:hAnsi="Calibri"/>
                <w:b/>
                <w:color w:val="102C57"/>
                <w:sz w:val="22"/>
              </w:rPr>
              <w:t>EXECUTIVE BRIEFING &amp; SESSION BLUEPRINT</w:t>
            </w:r>
          </w:p>
          <w:p>
            <w:pPr>
              <w:spacing w:after="40"/>
            </w:pPr>
            <w:r>
              <w:t>• Core Curriculum: AAOS 12th Ed., Chapter 2 (pp. 30–83) &amp; Chapter 9 (pp. 319–335).</w:t>
              <w:br/>
              <w:t>• Primary Directives: Provider safety is non-negotiable—scene safety, infection control, and psychological resilience form the foundation of field practice. Patient outcomes in complex emergencies depend on Crew Resource Management (CRM), standardized SBAR handovers, closed-loop communications, and flawless BLS/ALS coordination.</w:t>
              <w:br/>
              <w:t>• In-Class Evaluation: Features complete question breakdowns and clinical rationales for tonight's in-class quiz items.</w:t>
              <w:br/>
              <w:t>• Skills Lab Focus: Block #3 skills mastery for Saturday retests and next week's practical exam.</w:t>
            </w:r>
          </w:p>
        </w:tc>
      </w:tr>
    </w:tbl>
    <w:p>
      <w:pPr>
        <w:spacing w:after="160"/>
      </w:pPr>
    </w:p>
    <w:p>
      <w:pPr>
        <w:pStyle w:val="Heading1"/>
        <w:spacing w:before="240" w:after="80"/>
      </w:pPr>
      <w:r>
        <w:t>MODULE 1: CHAPTER 2 — WORKFORCE SAFETY &amp; WELLNESS</w:t>
      </w:r>
    </w:p>
    <w:p>
      <w:pPr>
        <w:pStyle w:val="Heading2"/>
        <w:spacing w:before="160" w:after="40"/>
      </w:pPr>
      <w:r>
        <w:t>1.1 Personal Health, Physical Fitness &amp; Sleep Hygiene</w:t>
      </w:r>
    </w:p>
    <w:p>
      <w:pPr>
        <w:spacing w:before="20" w:after="20"/>
        <w:ind w:left="288"/>
      </w:pPr>
      <w:r>
        <w:t>• Foundational Principle: A provider who is injured, ill, exhausted, or impaired cannot deliver safe patient care. Personal wellness is the prerequisite for all emergency operations.</w:t>
      </w:r>
    </w:p>
    <w:p>
      <w:pPr>
        <w:spacing w:before="20" w:after="20"/>
        <w:ind w:left="288"/>
      </w:pPr>
      <w:r>
        <w:t>• Nutrition &amp; Hydration: Consume complex carbohydrates and lean proteins for stable, long-lasting energy. Avoid excessive caffeine and high-sugar energy drinks that lead to acute spikes followed by severe fatigue crashes. Maintain constant hydration with water throughout your shift.</w:t>
      </w:r>
    </w:p>
    <w:p>
      <w:pPr>
        <w:spacing w:before="20" w:after="20"/>
        <w:ind w:left="288"/>
      </w:pPr>
      <w:r>
        <w:t>• Circadian Rhythms &amp; Sleep Deprivation: The body operates on a natural 24-hour biological cycle. Sleep deficit causes slowed cognitive processing, delayed reflexes, mood disturbances, and significantly increases the incidence of emergency vehicle crashes. Ensure 7–9 hours of sleep; during night-shift assignments, sleep in darkened, cool rooms with blackout curtains, eliminate blue-light screens before bed, and maintain a consistent schedule.</w:t>
      </w:r>
    </w:p>
    <w:p>
      <w:pPr>
        <w:spacing w:before="20" w:after="20"/>
        <w:ind w:left="288"/>
      </w:pPr>
      <w:r>
        <w:t>• Lifting &amp; Moving Ergonomics: Keep your back locked upright in a neutral spinal posture; lift primarily using your quadriceps and gluteals (leg drive), never by bending your lumbar spine. Keep the patient's weight as close to your body as possible. Avoid twisting, jerking, or hyperextending during patient moves.</w:t>
      </w:r>
    </w:p>
    <w:p>
      <w:pPr>
        <w:pStyle w:val="Heading2"/>
        <w:spacing w:before="160" w:after="40"/>
      </w:pPr>
      <w:r>
        <w:t>1.2 Infectious Diseases, Pathogen Classifications &amp; Transmission Routes</w:t>
      </w:r>
    </w:p>
    <w:p>
      <w:pPr>
        <w:spacing w:before="20" w:after="20"/>
        <w:ind w:left="288"/>
      </w:pPr>
      <w:r>
        <w:t>• Infectious vs. Communicable: An infectious disease is caused by the proliferation of harmful microscopic organisms within the host. A communicable disease is an infectious disease that can spread directly or indirectly from one person to another.</w:t>
      </w:r>
    </w:p>
    <w:p>
      <w:pPr>
        <w:spacing w:before="20" w:after="20"/>
        <w:ind w:left="288"/>
      </w:pPr>
      <w:r>
        <w:t>• Pathogen Categories:</w:t>
      </w:r>
    </w:p>
    <w:p>
      <w:pPr>
        <w:spacing w:before="20" w:after="20"/>
        <w:ind w:left="288"/>
      </w:pPr>
      <w:r>
        <w:t>•    • Bacteria: Independent, single-celled organisms capable of self-replication; cause conditions like tuberculosis, bacterial pneumonia, staph/strep infections; treatable with targeted antibiotics.</w:t>
      </w:r>
    </w:p>
    <w:p>
      <w:pPr>
        <w:spacing w:before="20" w:after="20"/>
        <w:ind w:left="288"/>
      </w:pPr>
      <w:r>
        <w:t>•    • Viruses: Submicroscopic pathogens that require living host cells to reproduce; cause illnesses like Hepatitis B, Hepatitis C, HIV, Influenza, and COVID-19; not affected by antibiotics.</w:t>
      </w:r>
    </w:p>
    <w:p>
      <w:pPr>
        <w:spacing w:before="20" w:after="20"/>
        <w:ind w:left="288"/>
      </w:pPr>
      <w:r>
        <w:t>•    • Fungi: Plant-like microorganisms (e.g., Candida, athlete's foot, molds).</w:t>
      </w:r>
    </w:p>
    <w:p>
      <w:pPr>
        <w:spacing w:before="20" w:after="20"/>
        <w:ind w:left="288"/>
      </w:pPr>
      <w:r>
        <w:t>•    • Parasites / Helminths: Protozoans (e.g., malaria) and intestinal worms (pinworms, tapeworms).</w:t>
      </w:r>
    </w:p>
    <w:p>
      <w:pPr>
        <w:spacing w:before="20" w:after="20"/>
        <w:ind w:left="288"/>
      </w:pPr>
      <w:r>
        <w:t>• Modes of Disease Transmission:</w:t>
      </w:r>
    </w:p>
    <w:p>
      <w:pPr>
        <w:spacing w:before="20" w:after="20"/>
        <w:ind w:left="288"/>
      </w:pPr>
      <w:r>
        <w:t>•    • Direct Contact: Physical transfer of blood or infectious secretions into non-intact skin or mucous membranes (e.g., needle sticks, blood splatters into eyes).</w:t>
      </w:r>
    </w:p>
    <w:p>
      <w:pPr>
        <w:spacing w:before="20" w:after="20"/>
        <w:ind w:left="288"/>
      </w:pPr>
      <w:r>
        <w:t>•    • Indirect Contact (Fomites): Transmission via an inanimate object that has been contaminated (e.g., stethoscope, stretcher mattress, blood pressure cuff, radio).</w:t>
      </w:r>
    </w:p>
    <w:p>
      <w:pPr>
        <w:spacing w:before="20" w:after="20"/>
        <w:ind w:left="288"/>
      </w:pPr>
      <w:r>
        <w:t>•    • Droplet Transmission: Pathogens expelled in large respiratory droplets during coughing, sneezing, or speaking that travel short distances (&lt; 6 feet) before settling.</w:t>
      </w:r>
    </w:p>
    <w:p>
      <w:pPr>
        <w:spacing w:before="20" w:after="20"/>
        <w:ind w:left="288"/>
      </w:pPr>
      <w:r>
        <w:t>•    • Airborne / Aerosol Transmission: Microscopic droplet nuclei that remain suspended in ambient air currents for hours and can be inhaled deep into the lung alveoli (e.g., Mycobacterium tuberculosis, measles, varicella/chickenpox).</w:t>
      </w:r>
    </w:p>
    <w:p>
      <w:pPr>
        <w:spacing w:before="20" w:after="20"/>
        <w:ind w:left="288"/>
      </w:pPr>
      <w:r>
        <w:t>•    • Foodborne / Waterborne: Ingestion of contaminated food or potable water (e.g., hepatitis A, salmonella, norovirus).</w:t>
      </w:r>
    </w:p>
    <w:p>
      <w:pPr>
        <w:spacing w:before="20" w:after="20"/>
        <w:ind w:left="288"/>
      </w:pPr>
      <w:r>
        <w:t>•    • Vector-Borne: Inoculation via an animal or insect bite (e.g., Lyme disease via deer ticks, West Nile virus via mosquitoes).</w:t>
      </w:r>
    </w:p>
    <w:p>
      <w:pPr>
        <w:pStyle w:val="Heading2"/>
        <w:spacing w:before="160" w:after="40"/>
      </w:pPr>
      <w:r>
        <w:t>1.3 Standard Precautions, OSHA 1910.1030 &amp; The Ryan White Act</w:t>
      </w:r>
    </w:p>
    <w:p>
      <w:pPr>
        <w:spacing w:before="20" w:after="20"/>
        <w:ind w:left="288"/>
      </w:pPr>
      <w:r>
        <w:t>• Standard Precautions: CDC and OSHA infection-control guidelines mandating that all human blood, body fluids, secretions, non-intact skin, and mucous membranes be treated as infectious for bloodborne pathogens (HIV, HBV, HCV).</w:t>
      </w:r>
    </w:p>
    <w:p>
      <w:pPr>
        <w:spacing w:before="20" w:after="20"/>
        <w:ind w:left="288"/>
      </w:pPr>
      <w:r>
        <w:t>• OSHA Bloodborne Pathogens Standard (29 CFR 1910.1030): Legally requires EMS employers to establish a written Exposure Control Plan, provide free Hepatitis B vaccinations, furnish accessible PPE, conduct annual training, maintain exposure logs, and offer immediate post-exposure medical evaluations.</w:t>
      </w:r>
    </w:p>
    <w:p>
      <w:pPr>
        <w:spacing w:before="20" w:after="20"/>
        <w:ind w:left="288"/>
      </w:pPr>
      <w:r>
        <w:t>• The Ryan White Comprehensive AIDS Resources Emergency Act: Federal statute establishing clear exposure notification channels for emergency medical personnel through the agency's Designated Infection Control Officer (DICO):</w:t>
      </w:r>
    </w:p>
    <w:p>
      <w:pPr>
        <w:spacing w:before="20" w:after="20"/>
        <w:ind w:left="288"/>
      </w:pPr>
      <w:r>
        <w:t>•    • Airborne Exposures (e.g., TB): The receiving medical facility is legally required to notify the agency DICO within 48 hours of confirming a positive diagnosis.</w:t>
      </w:r>
    </w:p>
    <w:p>
      <w:pPr>
        <w:spacing w:before="20" w:after="20"/>
        <w:ind w:left="288"/>
      </w:pPr>
      <w:r>
        <w:t>•    • Bloodborne Exposures (e.g., needle sticks, eye splashes): The exposed EMT must report the incident to their supervisor and initiate a formal post-exposure evaluation through the DICO immediately.</w:t>
      </w:r>
    </w:p>
    <w:p>
      <w:pPr>
        <w:pStyle w:val="Heading2"/>
        <w:spacing w:before="160" w:after="40"/>
      </w:pPr>
      <w:r>
        <w:t>1.4 Personal Protective Equipment (PPE) &amp; Hand Hygiene</w:t>
      </w:r>
    </w:p>
    <w:p>
      <w:pPr>
        <w:spacing w:before="20" w:after="20"/>
        <w:ind w:left="288"/>
      </w:pPr>
      <w:r>
        <w:t>• Medical Exam Gloves: High-quality nitrile or vinyl gloves must be donned prior to EVERY patient contact. Avoid latex gloves due to widespread provider and patient contact dermatitis/allergies.</w:t>
      </w:r>
    </w:p>
    <w:p>
      <w:pPr>
        <w:spacing w:before="20" w:after="20"/>
        <w:ind w:left="288"/>
      </w:pPr>
      <w:r>
        <w:t>• Proper Glove Removal Technique: Glove-to-glove, skin-to-skin. Partially peel the first glove at the wrist, turning it inside-out into a ball in the gloved hand. Slide a bare finger under the second glove's wrist and pull it inside-out over the balled first glove. Never allow the soiled outer surface of either glove to touch bare skin.</w:t>
      </w:r>
    </w:p>
    <w:p>
      <w:pPr>
        <w:spacing w:before="20" w:after="20"/>
        <w:ind w:left="288"/>
      </w:pPr>
      <w:r>
        <w:t>• Eye &amp; Face Protection: ANSI Z87.1 approved wrap-around eye protection or full-face shields are mandatory whenever blood, amniotic fluid, or secretions may splash, spray, or splatter (arterial hemorrhage, field delivery, airway suctioning, intubation).</w:t>
      </w:r>
    </w:p>
    <w:p>
      <w:pPr>
        <w:spacing w:before="20" w:after="20"/>
        <w:ind w:left="288"/>
      </w:pPr>
      <w:r>
        <w:t>• Respiratory Protection Protocols:</w:t>
      </w:r>
    </w:p>
    <w:p>
      <w:pPr>
        <w:spacing w:before="20" w:after="20"/>
        <w:ind w:left="288"/>
      </w:pPr>
      <w:r>
        <w:t>•    • Surgical Mask on the PATIENT: Placed over the mouth and nose of any coughing, sneezing, or febrile patient to control source droplet dispersion.</w:t>
      </w:r>
    </w:p>
    <w:p>
      <w:pPr>
        <w:spacing w:before="20" w:after="20"/>
        <w:ind w:left="288"/>
      </w:pPr>
      <w:r>
        <w:t>•    • N95 / HEPA Respirator on the EMT: Fit-tested particulate respirator worn by the provider whenever caring for patients with suspected airborne diseases (Tuberculosis, Measles, Varicella).</w:t>
      </w:r>
    </w:p>
    <w:p>
      <w:pPr>
        <w:spacing w:before="20" w:after="20"/>
        <w:ind w:left="288"/>
      </w:pPr>
      <w:r>
        <w:t>• Hand Hygiene (The Single Most Effective Infection Barrier):</w:t>
      </w:r>
    </w:p>
    <w:p>
      <w:pPr>
        <w:spacing w:before="20" w:after="20"/>
        <w:ind w:left="288"/>
      </w:pPr>
      <w:r>
        <w:t>•    • Hand Washing: Wash with warm water and soap for a minimum of 20 seconds with vigorous mechanical friction across all surfaces, between digits, and under nail beds. Mandatory when hands are visibly dirty or after caring for patients with spore-forming organisms like Clostridium difficile.</w:t>
      </w:r>
    </w:p>
    <w:p>
      <w:pPr>
        <w:spacing w:before="20" w:after="20"/>
        <w:ind w:left="288"/>
      </w:pPr>
      <w:r>
        <w:t>•    • Alcohol Sanitizers: Alcohol rubs (≥ 60% alcohol) are acceptable only when running water and soap are unavailable and hands are not visibly soiled.</w:t>
      </w:r>
    </w:p>
    <w:p>
      <w:pPr>
        <w:pStyle w:val="Heading2"/>
        <w:spacing w:before="160" w:after="40"/>
      </w:pPr>
      <w:r>
        <w:t>1.5 Decontamination, Disinfection &amp; Sharps Safety</w:t>
      </w:r>
    </w:p>
    <w:p>
      <w:pPr>
        <w:spacing w:before="20" w:after="20"/>
        <w:ind w:left="288"/>
      </w:pPr>
      <w:r>
        <w:t>• Cleaning vs. Disinfection vs. Sterilization:</w:t>
      </w:r>
    </w:p>
    <w:p>
      <w:pPr>
        <w:spacing w:before="20" w:after="20"/>
        <w:ind w:left="288"/>
      </w:pPr>
      <w:r>
        <w:t>•    • Cleaning: Mechanical removal of gross visible dirt and organic debris using soap and water.</w:t>
      </w:r>
    </w:p>
    <w:p>
      <w:pPr>
        <w:spacing w:before="20" w:after="20"/>
        <w:ind w:left="288"/>
      </w:pPr>
      <w:r>
        <w:t>•    • Disinfection: Chemical elimination of virtually all recognized pathogenic microorganisms on inanimate surfaces using hospital-grade EPA disinfectants or a 1:10 to 1:100 household bleach-to-water dilution.</w:t>
      </w:r>
    </w:p>
    <w:p>
      <w:pPr>
        <w:spacing w:before="20" w:after="20"/>
        <w:ind w:left="288"/>
      </w:pPr>
      <w:r>
        <w:t>•    • Sterilization: Complete destruction of all microbial life, including bacterial spores, achieved via high-pressure steam autoclaves.</w:t>
      </w:r>
    </w:p>
    <w:p>
      <w:pPr>
        <w:spacing w:before="20" w:after="20"/>
        <w:ind w:left="288"/>
      </w:pPr>
      <w:r>
        <w:t>• Regulated Medical Waste: Saturated, dripping dressings and blood products belong in red biohazard bags. Non-saturated exam gloves, wipes, and dry dressings may go into standard municipal trash.</w:t>
      </w:r>
    </w:p>
    <w:p>
      <w:pPr>
        <w:spacing w:before="20" w:after="20"/>
        <w:ind w:left="288"/>
      </w:pPr>
      <w:r>
        <w:t>• Sharps Handling: Immediately deposit needles, IV stylets, lancets, and ampoules into rigid, puncture-proof red biohazard sharps containers. NEVER recap, bend, or break needles by hand.</w:t>
      </w:r>
    </w:p>
    <w:p>
      <w:pPr>
        <w:pStyle w:val="Heading2"/>
        <w:spacing w:before="160" w:after="40"/>
      </w:pPr>
      <w:r>
        <w:t>1.6 Recommended Immunizations for EMS Personnel</w:t>
      </w:r>
    </w:p>
    <w:p>
      <w:pPr>
        <w:spacing w:before="20" w:after="20"/>
        <w:ind w:left="288"/>
      </w:pPr>
      <w:r>
        <w:t>• Hepatitis B: 3-dose vaccine series + post-vaccination titer to confirm protective antibody levels.</w:t>
      </w:r>
    </w:p>
    <w:p>
      <w:pPr>
        <w:spacing w:before="20" w:after="20"/>
        <w:ind w:left="288"/>
      </w:pPr>
      <w:r>
        <w:t>• Tdap: Tetanus, diphtheria, acellular pertussis vaccine; booster required every 10 years.</w:t>
      </w:r>
    </w:p>
    <w:p>
      <w:pPr>
        <w:spacing w:before="20" w:after="20"/>
        <w:ind w:left="288"/>
      </w:pPr>
      <w:r>
        <w:t>• MMR: Measles, mumps, rubella vaccine (2 doses or verified immunity).</w:t>
      </w:r>
    </w:p>
    <w:p>
      <w:pPr>
        <w:spacing w:before="20" w:after="20"/>
        <w:ind w:left="288"/>
      </w:pPr>
      <w:r>
        <w:t>• Varicella: Chickenpox vaccine (2 doses or verified titer).</w:t>
      </w:r>
    </w:p>
    <w:p>
      <w:pPr>
        <w:spacing w:before="20" w:after="20"/>
        <w:ind w:left="288"/>
      </w:pPr>
      <w:r>
        <w:t>• Influenza: Annual seasonal immunization.</w:t>
      </w:r>
    </w:p>
    <w:p>
      <w:pPr>
        <w:spacing w:before="20" w:after="20"/>
        <w:ind w:left="288"/>
      </w:pPr>
      <w:r>
        <w:t>• Tuberculosis (TB) Surveillance: Annual baseline PPD Mantoux tuberculin skin test or IGRA blood assay.</w:t>
      </w:r>
    </w:p>
    <w:p>
      <w:pPr>
        <w:pStyle w:val="Heading2"/>
        <w:spacing w:before="160" w:after="40"/>
      </w:pPr>
      <w:r>
        <w:t>1.7 Stress Physiology &amp; General Adaptation Syndrome (GAS)</w:t>
      </w:r>
    </w:p>
    <w:p>
      <w:pPr>
        <w:spacing w:before="20" w:after="20"/>
        <w:ind w:left="288"/>
      </w:pPr>
      <w:r>
        <w:t>• Hans Selye's Three-Stage Stress Model (General Adaptation Syndrome):</w:t>
      </w:r>
    </w:p>
    <w:p>
      <w:pPr>
        <w:spacing w:before="20" w:after="20"/>
        <w:ind w:left="288"/>
      </w:pPr>
      <w:r>
        <w:t>•    1. Alarm Reaction: Immediate sympathetic fight-or-flight response; surge of catecholamines (epinephrine and norepinephrine); marked increase in heart rate, blood pressure, respiratory rate, pupillary dilation, and heightened sensory alertness.</w:t>
      </w:r>
    </w:p>
    <w:p>
      <w:pPr>
        <w:spacing w:before="20" w:after="20"/>
        <w:ind w:left="288"/>
      </w:pPr>
      <w:r>
        <w:t>•    2. Stage of Resistance: The physiological attempt to adapt to ongoing stress and re-establish homeostasis.</w:t>
      </w:r>
    </w:p>
    <w:p>
      <w:pPr>
        <w:spacing w:before="20" w:after="20"/>
        <w:ind w:left="288"/>
      </w:pPr>
      <w:r>
        <w:t>•    3. Stage of Exhaustion: Prolonged, unmitigated exposure to stress depleting physical and psychological reserves; causes immune suppression, adrenal burnout, and chronic illness.</w:t>
      </w:r>
    </w:p>
    <w:p>
      <w:pPr>
        <w:spacing w:before="20" w:after="20"/>
        <w:ind w:left="288"/>
      </w:pPr>
      <w:r>
        <w:t>• The Three Stress Reactions in EMS Practice:</w:t>
      </w:r>
    </w:p>
    <w:p>
      <w:pPr>
        <w:spacing w:before="20" w:after="20"/>
        <w:ind w:left="288"/>
      </w:pPr>
      <w:r>
        <w:t>•    • Acute Stress Reaction: Occurs during or immediately following a critical event; manifests as diaphoresis, tachycardia, tremors, tunnel vision, or psychological paralysis.</w:t>
      </w:r>
    </w:p>
    <w:p>
      <w:pPr>
        <w:spacing w:before="20" w:after="20"/>
        <w:ind w:left="288"/>
      </w:pPr>
      <w:r>
        <w:t>•    • Delayed Stress Reaction (PTSD): Develops days, weeks, or months later; symptoms include intrusive flashbacks, nightmares, hypervigilance, emotional detachment, and avoidance of triggers.</w:t>
      </w:r>
    </w:p>
    <w:p>
      <w:pPr>
        <w:spacing w:before="20" w:after="20"/>
        <w:ind w:left="288"/>
      </w:pPr>
      <w:r>
        <w:t>•    • Cumulative Stress Reaction (Burnout): The gradual, insidious accumulation of unaddressed daily micro-stressors over months or years; manifests as chronic fatigue, cynicism, irritability, gastrointestinal ulcers, depression, and substance misuse.</w:t>
      </w:r>
    </w:p>
    <w:p>
      <w:pPr>
        <w:pStyle w:val="Heading2"/>
        <w:spacing w:before="160" w:after="40"/>
      </w:pPr>
      <w:r>
        <w:t>1.8 Critical Incident Stress Management (CISM)</w:t>
      </w:r>
    </w:p>
    <w:p>
      <w:pPr>
        <w:spacing w:before="20" w:after="20"/>
        <w:ind w:left="288"/>
      </w:pPr>
      <w:r>
        <w:t>• CISM Concept: A comprehensive, multi-component crisis intervention protocol designed to mitigate acute psychological trauma in emergency responders.</w:t>
      </w:r>
    </w:p>
    <w:p>
      <w:pPr>
        <w:spacing w:before="20" w:after="20"/>
        <w:ind w:left="288"/>
      </w:pPr>
      <w:r>
        <w:t>• Defusing: A short, informal, confidential peer-led discussion conducted within 1 to 4 hours post-incident; allows crew members to express emotions and receive initial coping strategies before returning home.</w:t>
      </w:r>
    </w:p>
    <w:p>
      <w:pPr>
        <w:spacing w:before="20" w:after="20"/>
        <w:ind w:left="288"/>
      </w:pPr>
      <w:r>
        <w:t>• Critical Incident Stress Debriefing (CISD): A formal, 7-phase group session held 24 to 72 hours after the event, facilitated by professional mental health clinicians and trained peer support teams.</w:t>
      </w:r>
    </w:p>
    <w:p>
      <w:pPr>
        <w:spacing w:before="20" w:after="20"/>
        <w:ind w:left="288"/>
      </w:pPr>
      <w:r>
        <w:t>• Suicide Awareness: Responders must remain alert for red flags in colleagues (social withdrawal, giving away personal gear, heavy drinking). Resources include agency EAP and the 988 Suicide &amp; Crisis Lifeline.</w:t>
      </w:r>
    </w:p>
    <w:p>
      <w:pPr>
        <w:pStyle w:val="Heading2"/>
        <w:spacing w:before="160" w:after="40"/>
      </w:pPr>
      <w:r>
        <w:t>1.9 Death, Dying &amp; Grieving (Kübler-Ross)</w:t>
      </w:r>
    </w:p>
    <w:p>
      <w:pPr>
        <w:spacing w:before="20" w:after="20"/>
        <w:ind w:left="288"/>
      </w:pPr>
      <w:r>
        <w:t>• The 5 Stages of Grief: Denial ('This cannot be happening') → Anger ('Why did you take so long?!') → Bargaining ('God, take me instead') → Depression (Silent despair) → Acceptance (Reaching emotional resolution).</w:t>
      </w:r>
    </w:p>
    <w:p>
      <w:pPr>
        <w:spacing w:before="20" w:after="20"/>
        <w:ind w:left="288"/>
      </w:pPr>
      <w:r>
        <w:t>• Communicating with Grieving Families:</w:t>
      </w:r>
    </w:p>
    <w:p>
      <w:pPr>
        <w:spacing w:before="20" w:after="20"/>
        <w:ind w:left="288"/>
      </w:pPr>
      <w:r>
        <w:t>•    • Maintain a calm, gentle, empathetic, and respectful demeanor.</w:t>
      </w:r>
    </w:p>
    <w:p>
      <w:pPr>
        <w:spacing w:before="20" w:after="20"/>
        <w:ind w:left="288"/>
      </w:pPr>
      <w:r>
        <w:t>•    • Use clear, direct, and unambiguous language: state clearly that the patient has 'died' or is 'dead'.</w:t>
      </w:r>
    </w:p>
    <w:p>
      <w:pPr>
        <w:spacing w:before="20" w:after="20"/>
        <w:ind w:left="288"/>
      </w:pPr>
      <w:r>
        <w:t>•    • NEVER use euphemisms like 'passed away', 'we lost him', or 'he is in a better place'—they perpetuate denial and create profound confusion.</w:t>
      </w:r>
    </w:p>
    <w:p>
      <w:pPr>
        <w:spacing w:before="20" w:after="20"/>
        <w:ind w:left="288"/>
      </w:pPr>
      <w:r>
        <w:t>•    • Do NOT provide false reassurances ('Everything will be fine' or 'I know exactly how you feel').</w:t>
      </w:r>
    </w:p>
    <w:p>
      <w:pPr>
        <w:pStyle w:val="Heading2"/>
        <w:spacing w:before="160" w:after="40"/>
      </w:pPr>
      <w:r>
        <w:t>1.10 Scene Safety, Physical Hazards &amp; Operational Awareness</w:t>
      </w:r>
    </w:p>
    <w:p>
      <w:pPr>
        <w:spacing w:before="20" w:after="20"/>
        <w:ind w:left="288"/>
      </w:pPr>
      <w:r>
        <w:t>• Traffic Incident Management: Highway collisions are among the leading causes of fatal EMS line-of-duty injuries. Position the apparatus in a protective 'fend-off' angle to shield the work area. Wear an ANSI/ISEA 107 Class 2 or 3 high-visibility safety vest.</w:t>
      </w:r>
    </w:p>
    <w:p>
      <w:pPr>
        <w:spacing w:before="20" w:after="20"/>
        <w:ind w:left="288"/>
      </w:pPr>
      <w:r>
        <w:t>• Downed Power Lines: Treat all downed wires as live and energized. Establish a wide danger zone beyond the wire's potential arc. Instruct vehicle occupants to remain inside the vehicle until the power utility confirms the line is de-energized, unless active fire threatens life.</w:t>
      </w:r>
    </w:p>
    <w:p>
      <w:pPr>
        <w:spacing w:before="20" w:after="20"/>
        <w:ind w:left="288"/>
      </w:pPr>
      <w:r>
        <w:t>• Hazardous Materials (Hazmat): Park uphill and upwind. Use binoculars from a safe distance to inspect NFPA 704 placards, DOT labels, and shipping manifests. Reference the DOT Emergency Response Guidebook (ERG). EMTs operate strictly in the Cold Zone (support zone); only Hazmat technicians operate in the Hot and Warm zones.</w:t>
      </w:r>
    </w:p>
    <w:p>
      <w:pPr>
        <w:spacing w:before="20" w:after="20"/>
        <w:ind w:left="288"/>
      </w:pPr>
      <w:r>
        <w:t>• Violent Scenes: Stage for law enforcement (PD) several blocks away out of line-of-sight until the scene is officially secured. Once inside, maintain situational awareness, identify two exit routes, and preserve forensic evidence (cut around knife/bullet holes; place clothing in paper bags, never plastic).</w:t>
      </w:r>
    </w:p>
    <w:p>
      <w:r>
        <w:br w:type="page"/>
      </w:r>
    </w:p>
    <w:p>
      <w:pPr>
        <w:pStyle w:val="Heading1"/>
        <w:spacing w:before="240" w:after="80"/>
      </w:pPr>
      <w:r>
        <w:t>MODULE 2: CHAPTER 9 — THE TEAM APPROACH TO HEALTH CARE</w:t>
      </w:r>
    </w:p>
    <w:p>
      <w:pPr>
        <w:pStyle w:val="Heading2"/>
        <w:spacing w:before="160" w:after="40"/>
      </w:pPr>
      <w:r>
        <w:t>2.1 Continuum of Care &amp; Just Culture</w:t>
      </w:r>
    </w:p>
    <w:p>
      <w:pPr>
        <w:spacing w:before="20" w:after="20"/>
        <w:ind w:left="288"/>
      </w:pPr>
      <w:r>
        <w:t>• Continuum of Care: The unbroken, coordinated delivery of patient care across all operational phases—from 911 dispatch, on-scene BLS/ALS interventions, ambulance transport, emergency department handoff, ICU/surgical management, to rehabilitation and discharge.</w:t>
      </w:r>
    </w:p>
    <w:p>
      <w:pPr>
        <w:spacing w:before="20" w:after="20"/>
        <w:ind w:left="288"/>
      </w:pPr>
      <w:r>
        <w:t>• Mobile Integrated Healthcare (MIH) &amp; Community Paramedicine: Proactive prehospital care model where experienced paramedics and EMTs perform home chronic disease monitoring and post-discharge check-ups to prevent avoidable hospital readmissions.</w:t>
      </w:r>
    </w:p>
    <w:p>
      <w:pPr>
        <w:spacing w:before="20" w:after="20"/>
        <w:ind w:left="288"/>
      </w:pPr>
      <w:r>
        <w:t>• Just Culture: An organizational safety framework that shifts away from blaming individuals for human errors toward designing safer systems. Distinguishes three behavioral categories:</w:t>
      </w:r>
    </w:p>
    <w:p>
      <w:pPr>
        <w:spacing w:before="20" w:after="20"/>
        <w:ind w:left="288"/>
      </w:pPr>
      <w:r>
        <w:t>•    • Human Error: Inadvertent slip or honest mistake → Console, review, fix system design.</w:t>
      </w:r>
    </w:p>
    <w:p>
      <w:pPr>
        <w:spacing w:before="20" w:after="20"/>
        <w:ind w:left="288"/>
      </w:pPr>
      <w:r>
        <w:t>•    • At-Risk Behavior: Choice where risk is unrecognized or mistakenly thought justified → Coach and retrain.</w:t>
      </w:r>
    </w:p>
    <w:p>
      <w:pPr>
        <w:spacing w:before="20" w:after="20"/>
        <w:ind w:left="288"/>
      </w:pPr>
      <w:r>
        <w:t>•    • Reckless Behavior: Conscious disregard of a substantial and unjustifiable safety risk → Disciplinary action.</w:t>
      </w:r>
    </w:p>
    <w:p>
      <w:pPr>
        <w:pStyle w:val="Heading2"/>
        <w:spacing w:before="160" w:after="40"/>
      </w:pPr>
      <w:r>
        <w:t>2.2 Groups Versus Teams</w:t>
      </w:r>
    </w:p>
    <w:p>
      <w:pPr>
        <w:spacing w:before="20" w:after="20"/>
        <w:ind w:left="288"/>
      </w:pPr>
      <w:r>
        <w:t>• Group vs. Team Definition: A group consists of individual healthcare providers who work independently to achieve their own individual goals. A team consists of a small number of people with complementary skills who are committed to a common purpose, shared performance goals, and mutual accountability.</w:t>
      </w:r>
    </w:p>
    <w:p>
      <w:pPr>
        <w:spacing w:before="20" w:after="20"/>
        <w:ind w:left="288"/>
      </w:pPr>
      <w:r>
        <w:t>• Team Classifications in EMS:</w:t>
      </w:r>
    </w:p>
    <w:p>
      <w:pPr>
        <w:spacing w:before="20" w:after="20"/>
        <w:ind w:left="288"/>
      </w:pPr>
      <w:r>
        <w:t>•    • Regular Teams: Providers who consistently train and work together with established routines and shared expectations (e.g., dedicated partner pairings on an engine or aid car).</w:t>
      </w:r>
    </w:p>
    <w:p>
      <w:pPr>
        <w:spacing w:before="20" w:after="20"/>
        <w:ind w:left="288"/>
      </w:pPr>
      <w:r>
        <w:t>•    • Temporary Teams: Providers who work together intermittently or have never met prior to the emergency call (e.g., volunteer duty shifts, mutual aid responses).</w:t>
      </w:r>
    </w:p>
    <w:p>
      <w:pPr>
        <w:spacing w:before="20" w:after="20"/>
        <w:ind w:left="288"/>
      </w:pPr>
      <w:r>
        <w:t>•    • Special Teams: Highly specialized units configured for specific operational domains (e.g., Hazmat, Tactical EMS, Search and Rescue, Bike teams, Critical Care Transport).</w:t>
      </w:r>
    </w:p>
    <w:p>
      <w:pPr>
        <w:spacing w:before="20" w:after="20"/>
        <w:ind w:left="288"/>
      </w:pPr>
      <w:r>
        <w:t>• Five Essential Elements of a High-Performing Team:</w:t>
      </w:r>
    </w:p>
    <w:p>
      <w:pPr>
        <w:spacing w:before="20" w:after="20"/>
        <w:ind w:left="288"/>
      </w:pPr>
      <w:r>
        <w:t>•    1. Shared Goal: A unified, unambiguous objective (e.g., 'achieve ROSC with neurologically intact survival').</w:t>
      </w:r>
    </w:p>
    <w:p>
      <w:pPr>
        <w:spacing w:before="20" w:after="20"/>
        <w:ind w:left="288"/>
      </w:pPr>
      <w:r>
        <w:t>•    2. Clear Roles &amp; Responsibilities: Each member knows exactly what task they own and who is leading.</w:t>
      </w:r>
    </w:p>
    <w:p>
      <w:pPr>
        <w:spacing w:before="20" w:after="20"/>
        <w:ind w:left="288"/>
      </w:pPr>
      <w:r>
        <w:t>•    3. Diverse &amp; Complementary Skills: Capitalizing on the varying strengths and training of all crew members.</w:t>
      </w:r>
    </w:p>
    <w:p>
      <w:pPr>
        <w:spacing w:before="20" w:after="20"/>
        <w:ind w:left="288"/>
      </w:pPr>
      <w:r>
        <w:t>•    4. Effective Communication: Transparent, respectful, and closed-loop dialogue.</w:t>
      </w:r>
    </w:p>
    <w:p>
      <w:pPr>
        <w:spacing w:before="20" w:after="20"/>
        <w:ind w:left="288"/>
      </w:pPr>
      <w:r>
        <w:t>•    5. Measurable Outcomes: Continuous debriefing and metric tracking (e.g., chest compression fraction &gt; 80%).</w:t>
      </w:r>
    </w:p>
    <w:p>
      <w:pPr>
        <w:pStyle w:val="Heading2"/>
        <w:spacing w:before="160" w:after="40"/>
      </w:pPr>
      <w:r>
        <w:t>2.3 Crew Resource Management (CRM) in EMS</w:t>
      </w:r>
    </w:p>
    <w:p>
      <w:pPr>
        <w:spacing w:before="20" w:after="20"/>
        <w:ind w:left="288"/>
      </w:pPr>
      <w:r>
        <w:t>• History &amp; Rationale: Developed by United Airlines and NASA following catastrophic aviation accidents caused by rigid authority gradients, communication breakdowns, and human fatigue. CRM operationalizes situational awareness, teamwork, and flattened communication hierarchies.</w:t>
      </w:r>
    </w:p>
    <w:p>
      <w:pPr>
        <w:spacing w:before="20" w:after="20"/>
        <w:ind w:left="288"/>
      </w:pPr>
      <w:r>
        <w:t>• Core Tenet: Situational Awareness (SA): Maintaining an accurate, real-time perception of what is happening around you, what it means clinically, and what will happen next.</w:t>
      </w:r>
    </w:p>
    <w:p>
      <w:pPr>
        <w:spacing w:before="20" w:after="20"/>
        <w:ind w:left="288"/>
      </w:pPr>
      <w:r>
        <w:t>• The PACE Mnemonic for Assertive Advocacy: When an EMT identifies a critical safety threat or clinical error by another provider (including a senior paramedic or physician), they must use progressive assertive language:</w:t>
      </w:r>
    </w:p>
    <w:p>
      <w:pPr>
        <w:spacing w:before="20" w:after="20"/>
        <w:ind w:left="288"/>
      </w:pPr>
      <w:r>
        <w:t>•    • Probe: Inquire gently ('Do you see the patient's oxygen saturation reading?').</w:t>
      </w:r>
    </w:p>
    <w:p>
      <w:pPr>
        <w:spacing w:before="20" w:after="20"/>
        <w:ind w:left="288"/>
      </w:pPr>
      <w:r>
        <w:t>•    • Alert: State the objective finding ('The SpO2 is dropping rapidly to 82%.').</w:t>
      </w:r>
    </w:p>
    <w:p>
      <w:pPr>
        <w:spacing w:before="20" w:after="20"/>
        <w:ind w:left="288"/>
      </w:pPr>
      <w:r>
        <w:t>•    • Challenge: Direct confrontation of the action ('We must stop the intubation attempt and ventilate with the BVM immediately.').</w:t>
      </w:r>
    </w:p>
    <w:p>
      <w:pPr>
        <w:spacing w:before="20" w:after="20"/>
        <w:ind w:left="288"/>
      </w:pPr>
      <w:r>
        <w:t>•    • Emergency: Direct intervention to stop harm ('Stop! Stand down, I am taking the airway to ventilate now!').</w:t>
      </w:r>
    </w:p>
    <w:p>
      <w:pPr>
        <w:spacing w:before="20" w:after="20"/>
        <w:ind w:left="288"/>
      </w:pPr>
      <w:r>
        <w:t>• Critical Language ('Hard Stop'): Pre-agreed phrases like 'Timeout', 'I have a safety concern', or 'Hold on' that instantly pause all actions for crew re-evaluation without fear of reprisal.</w:t>
      </w:r>
    </w:p>
    <w:p>
      <w:pPr>
        <w:pStyle w:val="Heading2"/>
        <w:spacing w:before="160" w:after="40"/>
      </w:pPr>
      <w:r>
        <w:t>2.4 Handoffs, Transfers of Care &amp; Closed-Loop Communication</w:t>
      </w:r>
    </w:p>
    <w:p>
      <w:pPr>
        <w:spacing w:before="20" w:after="20"/>
        <w:ind w:left="288"/>
      </w:pPr>
      <w:r>
        <w:t>• Transfer of Care: The formal transition of patient responsibility from one healthcare provider to another of equal or higher certification. Abandonment occurs if care is discontinued without an appropriate handoff.</w:t>
      </w:r>
    </w:p>
    <w:p>
      <w:pPr>
        <w:spacing w:before="20" w:after="20"/>
        <w:ind w:left="288"/>
      </w:pPr>
      <w:r>
        <w:t>• Five Critical Elements of Effective Handover:</w:t>
      </w:r>
    </w:p>
    <w:p>
      <w:pPr>
        <w:spacing w:before="20" w:after="20"/>
        <w:ind w:left="288"/>
      </w:pPr>
      <w:r>
        <w:t>•    1. Uninterrupted Critical Care: Ongoing interventions (CPR, ventilations, hemorrhage control) must not stop during verbal reports.</w:t>
      </w:r>
    </w:p>
    <w:p>
      <w:pPr>
        <w:spacing w:before="20" w:after="20"/>
        <w:ind w:left="288"/>
      </w:pPr>
      <w:r>
        <w:t>•    2. Minimal Distractions: Dedicated verbal exchange in a quiet, focused area without cross-talk.</w:t>
      </w:r>
    </w:p>
    <w:p>
      <w:pPr>
        <w:spacing w:before="20" w:after="20"/>
        <w:ind w:left="288"/>
      </w:pPr>
      <w:r>
        <w:t>•    3. Mutual Respect: Two-way collaborative interaction between prehospital and hospital personnel.</w:t>
      </w:r>
    </w:p>
    <w:p>
      <w:pPr>
        <w:spacing w:before="20" w:after="20"/>
        <w:ind w:left="288"/>
      </w:pPr>
      <w:r>
        <w:t>•    4. Common Language / Standardized Format: Utilizing standardized handover frameworks (SBAR or MIST).</w:t>
      </w:r>
    </w:p>
    <w:p>
      <w:pPr>
        <w:spacing w:before="20" w:after="20"/>
        <w:ind w:left="288"/>
      </w:pPr>
      <w:r>
        <w:t>•    5. Acknowledgment &amp; Transfer Confirmation: The receiving provider explicitly states they accept responsibility for the patient.</w:t>
      </w:r>
    </w:p>
    <w:p>
      <w:pPr>
        <w:spacing w:before="20" w:after="20"/>
        <w:ind w:left="288"/>
      </w:pPr>
      <w:r>
        <w:t>• The SBAR Handover Framework:</w:t>
      </w:r>
    </w:p>
    <w:p>
      <w:pPr>
        <w:spacing w:before="20" w:after="20"/>
        <w:ind w:left="288"/>
      </w:pPr>
      <w:r>
        <w:t>•    • Situation: Patient age, sex, chief complaint, primary life threat.</w:t>
      </w:r>
    </w:p>
    <w:p>
      <w:pPr>
        <w:spacing w:before="20" w:after="20"/>
        <w:ind w:left="288"/>
      </w:pPr>
      <w:r>
        <w:t>•    • Background: Pertinent medical history, medications, allergies, events leading up.</w:t>
      </w:r>
    </w:p>
    <w:p>
      <w:pPr>
        <w:spacing w:before="20" w:after="20"/>
        <w:ind w:left="288"/>
      </w:pPr>
      <w:r>
        <w:t>•    • Assessment: Baseline and current vitals, physical findings, interventions performed.</w:t>
      </w:r>
    </w:p>
    <w:p>
      <w:pPr>
        <w:spacing w:before="20" w:after="20"/>
        <w:ind w:left="288"/>
      </w:pPr>
      <w:r>
        <w:t>•    • Recommendation: Pending treatments, requested physician orders, suggested immediate diagnostics.</w:t>
      </w:r>
    </w:p>
    <w:p>
      <w:pPr>
        <w:spacing w:before="20" w:after="20"/>
        <w:ind w:left="288"/>
      </w:pPr>
      <w:r>
        <w:t>• Closed-Loop Communication &amp; Echo Technique: The sender gives an order; the receiver repeats the order back word-for-word to verify accuracy; the sender confirms ('That is correct'); the receiver carries out the order and reports completion ('Aspirin 324 mg administered at 18:25').</w:t>
      </w:r>
    </w:p>
    <w:p>
      <w:pPr>
        <w:pStyle w:val="Heading2"/>
        <w:spacing w:before="160" w:after="40"/>
      </w:pPr>
      <w:r>
        <w:t>2.5 Decision Making, Heuristics &amp; Cognitive Biases</w:t>
      </w:r>
    </w:p>
    <w:p>
      <w:pPr>
        <w:spacing w:before="20" w:after="20"/>
        <w:ind w:left="288"/>
      </w:pPr>
      <w:r>
        <w:t>• Dual-Process Decision Theory:</w:t>
      </w:r>
    </w:p>
    <w:p>
      <w:pPr>
        <w:spacing w:before="20" w:after="20"/>
        <w:ind w:left="288"/>
      </w:pPr>
      <w:r>
        <w:t>•    • Type 1 (Intuitive / Heuristic): Rapid, automatic, pattern-recognition based on past experience (e.g., seasoned paramedic recognizing anaphylaxis at a glance). Highly efficient, but prone to cognitive traps.</w:t>
      </w:r>
    </w:p>
    <w:p>
      <w:pPr>
        <w:spacing w:before="20" w:after="20"/>
        <w:ind w:left="288"/>
      </w:pPr>
      <w:r>
        <w:t>•    • Type 2 (Analytical / Deliberate): Slow, methodical, systematic rule-based evaluation (e.g., following a diagnostic flowchart). Demands more cognitive energy but prevents diagnostic tunnel vision.</w:t>
      </w:r>
    </w:p>
    <w:p>
      <w:pPr>
        <w:spacing w:before="20" w:after="20"/>
        <w:ind w:left="288"/>
      </w:pPr>
      <w:r>
        <w:t>• Lethal Cognitive Traps in EMS:</w:t>
      </w:r>
    </w:p>
    <w:p>
      <w:pPr>
        <w:spacing w:before="20" w:after="20"/>
        <w:ind w:left="288"/>
      </w:pPr>
      <w:r>
        <w:t>•    • Confirmation Bias: Seeking only clues that support your initial diagnostic hunch while ignoring contradictory evidence (e.g., diagnosing panic attack in a young female while ignoring tachypnea caused by pulmonary embolism).</w:t>
      </w:r>
    </w:p>
    <w:p>
      <w:pPr>
        <w:spacing w:before="20" w:after="20"/>
        <w:ind w:left="288"/>
      </w:pPr>
      <w:r>
        <w:t>•    • Anchoring Bias: Fixating on the first piece of information received (e.g., dispatch note 'intoxicated subject') and failing to recognize hypoglycemia or subdural hematoma.</w:t>
      </w:r>
    </w:p>
    <w:p>
      <w:pPr>
        <w:spacing w:before="20" w:after="20"/>
        <w:ind w:left="288"/>
      </w:pPr>
      <w:r>
        <w:t>•    • Overconfidence Trap: Believing one's clinical judgment is infallible without verifying vital signs or blood glucose.</w:t>
      </w:r>
    </w:p>
    <w:p>
      <w:pPr>
        <w:spacing w:before="20" w:after="20"/>
        <w:ind w:left="288"/>
      </w:pPr>
      <w:r>
        <w:t>•    • Deference to Authority: Junior EMT noticing an impending error by a senior paramedic but remaining silent out of intimidation.</w:t>
      </w:r>
    </w:p>
    <w:p>
      <w:pPr>
        <w:pStyle w:val="Heading2"/>
        <w:spacing w:before="160" w:after="40"/>
      </w:pPr>
      <w:r>
        <w:t>2.6 Assisting Advanced Life Support (ALS) Providers</w:t>
      </w:r>
    </w:p>
    <w:p>
      <w:pPr>
        <w:spacing w:before="20" w:after="20"/>
        <w:ind w:left="288"/>
      </w:pPr>
      <w:r>
        <w:t>• Assisting with Advanced Airway Management (Endotracheal Intubation):</w:t>
      </w:r>
    </w:p>
    <w:p>
      <w:pPr>
        <w:spacing w:before="20" w:after="20"/>
        <w:ind w:left="288"/>
      </w:pPr>
      <w:r>
        <w:t>•    • Equipment Assembly &amp; Check: Laryngoscope handle and blades (Macintosh curved vs. Miller straight; check bulb for 'white, bright, tight' illumination); Endotracheal (ET) tube of proper size (usually 7.0–8.0 mm for adults); malleable stylet inserted (stop 1 cm proximal to Murphy eye); 10 mL syringe (test cuff inflation and integrity); commercial tube securement device; suction unit with rigid Yankauer tip; BVM with reservoir attached to high-flow O2; water-soluble lubricant; continuous waveform capnography and colorimetric ETCO2 detector.</w:t>
      </w:r>
    </w:p>
    <w:p>
      <w:pPr>
        <w:spacing w:before="20" w:after="20"/>
        <w:ind w:left="288"/>
      </w:pPr>
      <w:r>
        <w:t>•    • Pre-Oxygenation: Deliver high-flow oxygen for 2–3 minutes prior to attempt via BVM or high-flow nasal cannula (apneic oxygenation).</w:t>
      </w:r>
    </w:p>
    <w:p>
      <w:pPr>
        <w:spacing w:before="20" w:after="20"/>
        <w:ind w:left="288"/>
      </w:pPr>
      <w:r>
        <w:t>•    • Positioning: Place the patient's head in the 'sniffing position' (earlobe aligned with sternal notch) unless trauma/c-spine precautions dictate neutral in-line stabilization.</w:t>
      </w:r>
    </w:p>
    <w:p>
      <w:pPr>
        <w:spacing w:before="20" w:after="20"/>
        <w:ind w:left="288"/>
      </w:pPr>
      <w:r>
        <w:t>•    • External Laryngeal Manipulation (BURP Maneuver): The EMT applies Backward, Upward, and Rightward Pressure on the patient's thyroid cartilage as directed by the intubator to bring the vocal cords into view.</w:t>
      </w:r>
    </w:p>
    <w:p>
      <w:pPr>
        <w:spacing w:before="20" w:after="20"/>
        <w:ind w:left="288"/>
      </w:pPr>
      <w:r>
        <w:t>•    • Confirmation of Placement: Continuous waveform capnography (gold standard, normal 35–45 mmHg with rectangular waveform); 5-point auscultation (must hear epigastric silence first, followed by clear, equal bilateral breath sounds in the apices and bases); symmetrical chest rise; condensation inside the tube.</w:t>
      </w:r>
    </w:p>
    <w:p>
      <w:pPr>
        <w:spacing w:before="20" w:after="20"/>
        <w:ind w:left="288"/>
      </w:pPr>
      <w:r>
        <w:t>• Assisting with Vascular Access (IV &amp; IO Therapy):</w:t>
      </w:r>
    </w:p>
    <w:p>
      <w:pPr>
        <w:spacing w:before="20" w:after="20"/>
        <w:ind w:left="288"/>
      </w:pPr>
      <w:r>
        <w:t>•    • IV Setup Procedure: Inspect IV fluid bag (0.9% Normal Saline or Lactated Ringer's) for clarity, leaks, and expiration date; select administration tubing (Macro-drip 10–15 gtt/mL for trauma/hypotension fluid resuscitation vs. Micro-drip 60 gtt/mL for medication infusions/pediatrics); spike the bag sterilely; squeeze drip chamber until half full; open roller clamp to flush ALL air from the line; close clamp.</w:t>
      </w:r>
    </w:p>
    <w:p>
      <w:pPr>
        <w:spacing w:before="20" w:after="20"/>
        <w:ind w:left="288"/>
      </w:pPr>
      <w:r>
        <w:t>•    • Assisting the Paramedic: Prepare venous constricting band (tourniquet), alcohol/chlorhexidine prep pads, IV catheters (14G–16G for massive trauma/shock, 18G–20G for routine medical), extension set/saline flush, and transparent occlusive dressing (Tegaderm).</w:t>
      </w:r>
    </w:p>
    <w:p>
      <w:pPr>
        <w:spacing w:before="20" w:after="20"/>
        <w:ind w:left="288"/>
      </w:pPr>
      <w:r>
        <w:t>•    • Intraosseous (IO) Access: Used when peripheral IV access cannot be established rapidly in critically ill patients. Landmarks: Proximal tibia (1 fingerbreadth medial to tibial tuberosity), humeral head, distal tibia. Have pressure infuser bag ready because bone marrow space exhibits high internal resistance.</w:t>
      </w:r>
    </w:p>
    <w:p>
      <w:pPr>
        <w:spacing w:before="20" w:after="20"/>
        <w:ind w:left="288"/>
      </w:pPr>
      <w:r>
        <w:t>•    • Monitoring the IV Line: Continuously observe for infiltration (catheter slips out of vein into surrounding subcutaneous tissue, causing cold, pale, swollen, tender tissue at insertion site—clamp and notify ALS immediately). Check for air in line, kinked tubing, or closed roller clamp.</w:t>
      </w:r>
    </w:p>
    <w:p>
      <w:r>
        <w:br w:type="page"/>
      </w:r>
    </w:p>
    <w:p>
      <w:pPr>
        <w:pStyle w:val="Heading1"/>
        <w:spacing w:before="240" w:after="80"/>
      </w:pPr>
      <w:r>
        <w:t>MODULE 3: TONIGHT'S IN-CLASS QUIZ ITEMS &amp; CLINICAL RATIONALES</w:t>
      </w:r>
    </w:p>
    <w:p>
      <w:pPr>
        <w:spacing w:before="80" w:after="40"/>
      </w:pPr>
      <w:r>
        <w:rPr>
          <w:b/>
          <w:color w:val="102C57"/>
        </w:rPr>
        <w:t>Question 3: Postpartum Bleeding Cessation Following Fundal Massage and Nursing</w:t>
        <w:br/>
      </w:r>
    </w:p>
    <w:p>
      <w:pPr>
        <w:spacing w:before="20" w:after="20"/>
        <w:ind w:left="360"/>
      </w:pPr>
      <w:r>
        <w:t>A. Partial placental retention in the uterus</w:t>
      </w:r>
    </w:p>
    <w:p>
      <w:pPr>
        <w:spacing w:before="20" w:after="20"/>
        <w:ind w:left="360"/>
      </w:pPr>
      <w:r>
        <w:t>B. Release of oxytocin stimulating uterine contractions</w:t>
      </w:r>
    </w:p>
    <w:p>
      <w:pPr>
        <w:spacing w:before="20" w:after="20"/>
        <w:ind w:left="360"/>
      </w:pPr>
      <w:r>
        <w:t>C. Increased uterine perfusion caused by massage</w:t>
      </w:r>
    </w:p>
    <w:p>
      <w:pPr>
        <w:spacing w:before="20" w:after="20"/>
        <w:ind w:left="360"/>
      </w:pPr>
      <w:r>
        <w:t>D. Dilation of uterine vasculature from nursing</w:t>
      </w:r>
    </w:p>
    <w:p>
      <w:pPr>
        <w:spacing w:before="40" w:after="120"/>
        <w:ind w:left="360"/>
      </w:pPr>
      <w:r>
        <w:rPr>
          <w:b/>
          <w:color w:val="BA181B"/>
        </w:rPr>
        <w:t xml:space="preserve">Correct Answer: </w:t>
      </w:r>
      <w:r>
        <w:rPr>
          <w:b/>
        </w:rPr>
        <w:t>B. Release of oxytocin stimulating uterine contractions</w:t>
        <w:br/>
      </w:r>
      <w:r>
        <w:rPr>
          <w:b/>
        </w:rPr>
        <w:t xml:space="preserve">Clinical Rationale: </w:t>
      </w:r>
      <w:r>
        <w:t>Infant suckling at the breast stimulates the maternal posterior pituitary gland to secrete oxytocin, a natural hormone that stimulates smooth muscle contractions of the myometrium. Combined with manual fundal massage, this causes the uterus to contract down firmly (uterine involution), clamping shut the open, bleeding uterine spiral arteries at the placental detachment site and controlling postpartum bleeding.</w:t>
      </w:r>
    </w:p>
    <w:p>
      <w:pPr>
        <w:spacing w:before="80" w:after="40"/>
      </w:pPr>
      <w:r>
        <w:rPr>
          <w:b/>
          <w:color w:val="102C57"/>
        </w:rPr>
        <w:t>Question 4: Distinguishing Features of Braxton-Hicks Contractions</w:t>
        <w:br/>
      </w:r>
    </w:p>
    <w:p>
      <w:pPr>
        <w:spacing w:before="20" w:after="20"/>
        <w:ind w:left="360"/>
      </w:pPr>
      <w:r>
        <w:t>A. Presence of bloody show alongside contractions</w:t>
      </w:r>
    </w:p>
    <w:p>
      <w:pPr>
        <w:spacing w:before="20" w:after="20"/>
        <w:ind w:left="360"/>
      </w:pPr>
      <w:r>
        <w:t>B. Regular uterine contractions building in intensity</w:t>
      </w:r>
    </w:p>
    <w:p>
      <w:pPr>
        <w:spacing w:before="20" w:after="20"/>
        <w:ind w:left="360"/>
      </w:pPr>
      <w:r>
        <w:t>C. Amniotic membrane rupture immediately preceding contractions</w:t>
      </w:r>
    </w:p>
    <w:p>
      <w:pPr>
        <w:spacing w:before="20" w:after="20"/>
        <w:ind w:left="360"/>
      </w:pPr>
      <w:r>
        <w:t>D. Pain relief achieved through movement or positional changes</w:t>
      </w:r>
    </w:p>
    <w:p>
      <w:pPr>
        <w:spacing w:before="40" w:after="120"/>
        <w:ind w:left="360"/>
      </w:pPr>
      <w:r>
        <w:rPr>
          <w:b/>
          <w:color w:val="BA181B"/>
        </w:rPr>
        <w:t xml:space="preserve">Correct Answer: </w:t>
      </w:r>
      <w:r>
        <w:rPr>
          <w:b/>
        </w:rPr>
        <w:t>D. Pain relief achieved through movement or positional changes</w:t>
        <w:br/>
      </w:r>
      <w:r>
        <w:rPr>
          <w:b/>
        </w:rPr>
        <w:t xml:space="preserve">Clinical Rationale: </w:t>
      </w:r>
      <w:r>
        <w:t>False labor (Braxton-Hicks contractions) is characterized by irregular contractions that do not increase in duration or intensity, remain localized to the lower abdomen, and typically alleviate or resolve when the patient changes position, walks, or rests. In contrast, true labor contractions become progressively stronger and more regular regardless of maternal movement.</w:t>
      </w:r>
    </w:p>
    <w:p>
      <w:pPr>
        <w:spacing w:before="80" w:after="40"/>
      </w:pPr>
      <w:r>
        <w:rPr>
          <w:b/>
          <w:color w:val="102C57"/>
        </w:rPr>
        <w:t>Question 5: Resuscitation Priorities for a Pulseless, Apneic Patient at 37 Weeks Gestation</w:t>
        <w:br/>
      </w:r>
    </w:p>
    <w:p>
      <w:pPr>
        <w:spacing w:before="20" w:after="20"/>
        <w:ind w:left="360"/>
      </w:pPr>
      <w:r>
        <w:t>A. Delivering sternal compressions lower than the standard position</w:t>
      </w:r>
    </w:p>
    <w:p>
      <w:pPr>
        <w:spacing w:before="20" w:after="20"/>
        <w:ind w:left="360"/>
      </w:pPr>
      <w:r>
        <w:t>B. Withholding electrical defibrillation to protect fetal safety</w:t>
      </w:r>
    </w:p>
    <w:p>
      <w:pPr>
        <w:spacing w:before="20" w:after="20"/>
        <w:ind w:left="360"/>
      </w:pPr>
      <w:r>
        <w:t>C. Performing manual leftward displacement of the gravid uterus</w:t>
      </w:r>
    </w:p>
    <w:p>
      <w:pPr>
        <w:spacing w:before="20" w:after="20"/>
        <w:ind w:left="360"/>
      </w:pPr>
      <w:r>
        <w:t>D. Compressing at an elevated rate between 120 and 140 compressions per minute</w:t>
      </w:r>
    </w:p>
    <w:p>
      <w:pPr>
        <w:spacing w:before="40" w:after="120"/>
        <w:ind w:left="360"/>
      </w:pPr>
      <w:r>
        <w:rPr>
          <w:b/>
          <w:color w:val="BA181B"/>
        </w:rPr>
        <w:t xml:space="preserve">Correct Answer: </w:t>
      </w:r>
      <w:r>
        <w:rPr>
          <w:b/>
        </w:rPr>
        <w:t>C. Performing manual leftward displacement of the gravid uterus</w:t>
        <w:br/>
      </w:r>
      <w:r>
        <w:rPr>
          <w:b/>
        </w:rPr>
        <w:t xml:space="preserve">Clinical Rationale: </w:t>
      </w:r>
      <w:r>
        <w:t>In the late third trimester (≥ 20 weeks), the heavy gravid uterus compresses the inferior vena cava and abdominal aorta against the lumbar spine in the supine position (aortocaval compression), severely reducing venous return and rendering chest compressions hemodynamically ineffective. Resuscitation guidelines mandate continuous Manual Left Uterine Displacement (LUD) to relieve IVC compression during CPR. (Defibrillation is safe and must never be withheld; compressions remain at 100–120/min).</w:t>
      </w:r>
    </w:p>
    <w:p>
      <w:pPr>
        <w:spacing w:before="80" w:after="40"/>
      </w:pPr>
      <w:r>
        <w:rPr>
          <w:b/>
          <w:color w:val="102C57"/>
        </w:rPr>
        <w:t>Question 6: Timing the Secondary Apgar Assessment for a Delivery Recorded at 7:52</w:t>
        <w:br/>
      </w:r>
    </w:p>
    <w:p>
      <w:pPr>
        <w:spacing w:before="20" w:after="20"/>
        <w:ind w:left="360"/>
      </w:pPr>
      <w:r>
        <w:t>A. 7:59</w:t>
      </w:r>
    </w:p>
    <w:p>
      <w:pPr>
        <w:spacing w:before="20" w:after="20"/>
        <w:ind w:left="360"/>
      </w:pPr>
      <w:r>
        <w:t>B. 7:57</w:t>
      </w:r>
    </w:p>
    <w:p>
      <w:pPr>
        <w:spacing w:before="20" w:after="20"/>
        <w:ind w:left="360"/>
      </w:pPr>
      <w:r>
        <w:t>C. 8:00</w:t>
      </w:r>
    </w:p>
    <w:p>
      <w:pPr>
        <w:spacing w:before="20" w:after="20"/>
        <w:ind w:left="360"/>
      </w:pPr>
      <w:r>
        <w:t>D. 7:53</w:t>
      </w:r>
    </w:p>
    <w:p>
      <w:pPr>
        <w:spacing w:before="40" w:after="120"/>
        <w:ind w:left="360"/>
      </w:pPr>
      <w:r>
        <w:rPr>
          <w:b/>
          <w:color w:val="BA181B"/>
        </w:rPr>
        <w:t xml:space="preserve">Correct Answer: </w:t>
      </w:r>
      <w:r>
        <w:rPr>
          <w:b/>
        </w:rPr>
        <w:t>B. 7:57</w:t>
        <w:br/>
      </w:r>
      <w:r>
        <w:rPr>
          <w:b/>
        </w:rPr>
        <w:t xml:space="preserve">Clinical Rationale: </w:t>
      </w:r>
      <w:r>
        <w:t>Apgar scores are calculated at 1 minute and 5 minutes postpartum. With birth recorded at 07:52, the initial assessment occurs at 07:53, and the secondary assessment occurs at 07:57 (07:52 + 5 minutes).</w:t>
      </w:r>
    </w:p>
    <w:p>
      <w:pPr>
        <w:spacing w:before="80" w:after="40"/>
      </w:pPr>
      <w:r>
        <w:rPr>
          <w:b/>
          <w:color w:val="102C57"/>
        </w:rPr>
        <w:t>Question 7: Strict Prehospital Indications for Manual Vaginal Insertion During Childbirth</w:t>
        <w:br/>
      </w:r>
    </w:p>
    <w:p>
      <w:pPr>
        <w:spacing w:before="20" w:after="20"/>
        <w:ind w:left="360"/>
      </w:pPr>
      <w:r>
        <w:t>A. Cephalic vertex presentation and stage-three placental delivery</w:t>
      </w:r>
    </w:p>
    <w:p>
      <w:pPr>
        <w:spacing w:before="20" w:after="20"/>
        <w:ind w:left="360"/>
      </w:pPr>
      <w:r>
        <w:t>B. Nuchal cord entanglement and single-extremity presentation</w:t>
      </w:r>
    </w:p>
    <w:p>
      <w:pPr>
        <w:spacing w:before="20" w:after="20"/>
        <w:ind w:left="360"/>
      </w:pPr>
      <w:r>
        <w:t>C. Isolated extremity presentation with significant hemorrhage</w:t>
      </w:r>
    </w:p>
    <w:p>
      <w:pPr>
        <w:spacing w:before="20" w:after="20"/>
        <w:ind w:left="360"/>
      </w:pPr>
      <w:r>
        <w:t>D. Breech presentation with delayed head delivery and umbilical cord prolapse</w:t>
      </w:r>
    </w:p>
    <w:p>
      <w:pPr>
        <w:spacing w:before="40" w:after="120"/>
        <w:ind w:left="360"/>
      </w:pPr>
      <w:r>
        <w:rPr>
          <w:b/>
          <w:color w:val="BA181B"/>
        </w:rPr>
        <w:t xml:space="preserve">Correct Answer: </w:t>
      </w:r>
      <w:r>
        <w:rPr>
          <w:b/>
        </w:rPr>
        <w:t>D. Breech presentation with delayed head delivery and umbilical cord prolapse</w:t>
        <w:br/>
      </w:r>
      <w:r>
        <w:rPr>
          <w:b/>
        </w:rPr>
        <w:t xml:space="preserve">Clinical Rationale: </w:t>
      </w:r>
      <w:r>
        <w:t>Prehospital manual insertion of a sterile gloved hand/fingers into the vagina is strictly restricted to only two life-threatening emergencies: (1) Prolapsed Umbilical Cord (pushing the presenting fetal part up and off the pulsating cord to maintain fetal perfusion), and (2) Breech Delivery with Head Entrapment (&gt; 3 minutes) (forming a 'V' with gloved fingers along the infant's face to push the vaginal wall away from the nose and mouth, creating a continuous patent airway).</w:t>
      </w:r>
    </w:p>
    <w:p>
      <w:pPr>
        <w:spacing w:before="80" w:after="40"/>
      </w:pPr>
      <w:r>
        <w:rPr>
          <w:b/>
          <w:color w:val="102C57"/>
        </w:rPr>
        <w:t>Question 8: Immediate Initial Intervention When a Nuchal Cord is Identified</w:t>
        <w:br/>
      </w:r>
    </w:p>
    <w:p>
      <w:pPr>
        <w:spacing w:before="20" w:after="20"/>
        <w:ind w:left="360"/>
      </w:pPr>
      <w:r>
        <w:t>A. Administering high-flow oxygen to the mother and initiating rapid transport</w:t>
      </w:r>
    </w:p>
    <w:p>
      <w:pPr>
        <w:spacing w:before="20" w:after="20"/>
        <w:ind w:left="360"/>
      </w:pPr>
      <w:r>
        <w:t>B. Providing blow-by oxygen across the newborn's face and transporting</w:t>
      </w:r>
    </w:p>
    <w:p>
      <w:pPr>
        <w:spacing w:before="20" w:after="20"/>
        <w:ind w:left="360"/>
      </w:pPr>
      <w:r>
        <w:t>C. Attempting gentle reduction of the loop over the newborn's cranium</w:t>
      </w:r>
    </w:p>
    <w:p>
      <w:pPr>
        <w:spacing w:before="20" w:after="20"/>
        <w:ind w:left="360"/>
      </w:pPr>
      <w:r>
        <w:t>D. Promptly clamping and dividing the cord in place</w:t>
      </w:r>
    </w:p>
    <w:p>
      <w:pPr>
        <w:spacing w:before="40" w:after="120"/>
        <w:ind w:left="360"/>
      </w:pPr>
      <w:r>
        <w:rPr>
          <w:b/>
          <w:color w:val="BA181B"/>
        </w:rPr>
        <w:t xml:space="preserve">Correct Answer: </w:t>
      </w:r>
      <w:r>
        <w:rPr>
          <w:b/>
        </w:rPr>
        <w:t>C. Attempting gentle reduction of the loop over the newborn's cranium</w:t>
        <w:br/>
      </w:r>
      <w:r>
        <w:rPr>
          <w:b/>
        </w:rPr>
        <w:t xml:space="preserve">Clinical Rationale: </w:t>
      </w:r>
      <w:r>
        <w:t>As soon as the infant's head delivers, the EMT must palpate the neck for a nuchal cord. The immediate first-line action is to gently slip (reduce) the cord loop over the infant's head with a finger. Only if the cord is too tight to slip or remove over the shoulders do you clamp twice (2 inches apart) and cut between the clamps.</w:t>
      </w:r>
    </w:p>
    <w:p>
      <w:pPr>
        <w:spacing w:before="80" w:after="40"/>
      </w:pPr>
      <w:r>
        <w:rPr>
          <w:b/>
          <w:color w:val="102C57"/>
        </w:rPr>
        <w:t>Question 9: Assessment Priority Before Administering Nitroglycerin to an ACS Patient Prescribed Vasotec, Nitrostat, and Viagra</w:t>
        <w:br/>
      </w:r>
    </w:p>
    <w:p>
      <w:pPr>
        <w:spacing w:before="20" w:after="20"/>
        <w:ind w:left="360"/>
      </w:pPr>
      <w:r>
        <w:t>A. Placing the patient completely supine and initiating transport</w:t>
      </w:r>
    </w:p>
    <w:p>
      <w:pPr>
        <w:spacing w:before="20" w:after="20"/>
        <w:ind w:left="360"/>
      </w:pPr>
      <w:r>
        <w:t>B. Delivering an initial sublingual dose before establishing medical contact</w:t>
      </w:r>
    </w:p>
    <w:p>
      <w:pPr>
        <w:spacing w:before="20" w:after="20"/>
        <w:ind w:left="360"/>
      </w:pPr>
      <w:r>
        <w:t>C. Requesting physician authorization prior to drug delivery</w:t>
      </w:r>
    </w:p>
    <w:p>
      <w:pPr>
        <w:spacing w:before="20" w:after="20"/>
        <w:ind w:left="360"/>
      </w:pPr>
      <w:r>
        <w:t>D. Determining whether a PDE-5 inhibitor was ingested during the preceding 24 hours</w:t>
      </w:r>
    </w:p>
    <w:p>
      <w:pPr>
        <w:spacing w:before="40" w:after="120"/>
        <w:ind w:left="360"/>
      </w:pPr>
      <w:r>
        <w:rPr>
          <w:b/>
          <w:color w:val="BA181B"/>
        </w:rPr>
        <w:t xml:space="preserve">Correct Answer: </w:t>
      </w:r>
      <w:r>
        <w:rPr>
          <w:b/>
        </w:rPr>
        <w:t>D. Determining whether a PDE-5 inhibitor was ingested during the preceding 24 hours</w:t>
        <w:br/>
      </w:r>
      <w:r>
        <w:rPr>
          <w:b/>
        </w:rPr>
        <w:t xml:space="preserve">Clinical Rationale: </w:t>
      </w:r>
      <w:r>
        <w:t>Phosphodiesterase-5 (PDE-5) inhibitors (e.g., sildenafil / Viagra, vardenafil / Levitra within 24 hours; tadalafil / Cialis within 48 hours) taken concurrently with nitrates trigger profound, irreversible, and potentially fatal systemic vasodilation and hypotension. Screening for the exact timing of PDE-5 ingestion is a mandatory pre-administration assessment priority.</w:t>
      </w:r>
    </w:p>
    <w:p>
      <w:pPr>
        <w:spacing w:before="80" w:after="40"/>
      </w:pPr>
      <w:r>
        <w:rPr>
          <w:b/>
          <w:color w:val="102C57"/>
        </w:rPr>
        <w:t>Question 10: Generic Classification Corresponding to Brand Formulations Nuprin, Motrin, and Advil</w:t>
        <w:br/>
      </w:r>
    </w:p>
    <w:p>
      <w:pPr>
        <w:spacing w:before="20" w:after="20"/>
        <w:ind w:left="360"/>
      </w:pPr>
      <w:r>
        <w:t>A. Ibuprofen</w:t>
      </w:r>
    </w:p>
    <w:p>
      <w:pPr>
        <w:spacing w:before="20" w:after="20"/>
        <w:ind w:left="360"/>
      </w:pPr>
      <w:r>
        <w:t>B. Aspirin</w:t>
      </w:r>
    </w:p>
    <w:p>
      <w:pPr>
        <w:spacing w:before="20" w:after="20"/>
        <w:ind w:left="360"/>
      </w:pPr>
      <w:r>
        <w:t>C. Nitrostat</w:t>
      </w:r>
    </w:p>
    <w:p>
      <w:pPr>
        <w:spacing w:before="20" w:after="20"/>
        <w:ind w:left="360"/>
      </w:pPr>
      <w:r>
        <w:t>D. Acetaminophen</w:t>
      </w:r>
    </w:p>
    <w:p>
      <w:pPr>
        <w:spacing w:before="40" w:after="120"/>
        <w:ind w:left="360"/>
      </w:pPr>
      <w:r>
        <w:rPr>
          <w:b/>
          <w:color w:val="BA181B"/>
        </w:rPr>
        <w:t xml:space="preserve">Correct Answer: </w:t>
      </w:r>
      <w:r>
        <w:rPr>
          <w:b/>
        </w:rPr>
        <w:t>A. Ibuprofen</w:t>
        <w:br/>
      </w:r>
      <w:r>
        <w:rPr>
          <w:b/>
        </w:rPr>
        <w:t xml:space="preserve">Clinical Rationale: </w:t>
      </w:r>
      <w:r>
        <w:t>Advil, Motrin, and Nuprin are trade (brand) names for the generic nonsteroidal anti-inflammatory drug (NSAID) ibuprofen. Acetaminophen is Tylenol; aspirin is acetylsalicylic acid (Bayer); Nitrostat is nitroglycerin.</w:t>
      </w:r>
    </w:p>
    <w:p>
      <w:pPr>
        <w:spacing w:before="80" w:after="40"/>
      </w:pPr>
      <w:r>
        <w:rPr>
          <w:b/>
          <w:color w:val="102C57"/>
        </w:rPr>
        <w:t>Question 12: Clinical Considerations When Administering Naloxone for Unresponsive Opioid Toxicity</w:t>
        <w:br/>
      </w:r>
    </w:p>
    <w:p>
      <w:pPr>
        <w:spacing w:before="20" w:after="20"/>
        <w:ind w:left="360"/>
      </w:pPr>
      <w:r>
        <w:t>A. Delivering the medication in mandatory 2 mg increments</w:t>
      </w:r>
    </w:p>
    <w:p>
      <w:pPr>
        <w:spacing w:before="20" w:after="20"/>
        <w:ind w:left="360"/>
      </w:pPr>
      <w:r>
        <w:t>B. Half-life of naloxone exceeding the duration of active opioids</w:t>
      </w:r>
    </w:p>
    <w:p>
      <w:pPr>
        <w:spacing w:before="20" w:after="20"/>
        <w:ind w:left="360"/>
      </w:pPr>
      <w:r>
        <w:t>C. Withholding the antagonist in the presence of hypoventilation</w:t>
      </w:r>
    </w:p>
    <w:p>
      <w:pPr>
        <w:spacing w:before="20" w:after="20"/>
        <w:ind w:left="360"/>
      </w:pPr>
      <w:r>
        <w:t>D. Precipitating acute withdrawal seizures in chronically dependent patients</w:t>
      </w:r>
    </w:p>
    <w:p>
      <w:pPr>
        <w:spacing w:before="40" w:after="120"/>
        <w:ind w:left="360"/>
      </w:pPr>
      <w:r>
        <w:rPr>
          <w:b/>
          <w:color w:val="BA181B"/>
        </w:rPr>
        <w:t xml:space="preserve">Correct Answer: </w:t>
      </w:r>
      <w:r>
        <w:rPr>
          <w:b/>
        </w:rPr>
        <w:t>D. Precipitating acute withdrawal seizures in chronically dependent patients</w:t>
        <w:br/>
      </w:r>
      <w:r>
        <w:rPr>
          <w:b/>
        </w:rPr>
        <w:t xml:space="preserve">Clinical Rationale: </w:t>
      </w:r>
      <w:r>
        <w:t>Naloxone is a competitive mu-opioid receptor antagonist. Rapid administration in a patient with chronic physical opioid dependence can precipitate immediate, acute opioid withdrawal syndrome—causing vomiting, agitation, severe sympathetic surge, and in vulnerable patients or neonates, withdrawal seizures. (Option B is incorrect because naloxone's half-life of 30–90 minutes is shorter than most active opioids, which can cause recurrent respiratory arrest).</w:t>
      </w:r>
    </w:p>
    <w:p>
      <w:pPr>
        <w:spacing w:before="80" w:after="40"/>
      </w:pPr>
      <w:r>
        <w:rPr>
          <w:b/>
          <w:color w:val="102C57"/>
        </w:rPr>
        <w:t>Question 13: Management of an Alert Patient Experiencing Symptomatic Hypotension Post-Nitroglycerin</w:t>
        <w:br/>
      </w:r>
    </w:p>
    <w:p>
      <w:pPr>
        <w:spacing w:before="20" w:after="20"/>
        <w:ind w:left="360"/>
      </w:pPr>
      <w:r>
        <w:t>A. Initiating positive-pressure ventilations via bag-valve mask</w:t>
      </w:r>
    </w:p>
    <w:p>
      <w:pPr>
        <w:spacing w:before="20" w:after="20"/>
        <w:ind w:left="360"/>
      </w:pPr>
      <w:r>
        <w:t>B. Waiting five minutes before repeating vital signs</w:t>
      </w:r>
    </w:p>
    <w:p>
      <w:pPr>
        <w:spacing w:before="20" w:after="20"/>
        <w:ind w:left="360"/>
      </w:pPr>
      <w:r>
        <w:t>C. Positioning the patient supine on the stretcher</w:t>
      </w:r>
    </w:p>
    <w:p>
      <w:pPr>
        <w:spacing w:before="20" w:after="20"/>
        <w:ind w:left="360"/>
      </w:pPr>
      <w:r>
        <w:t>D. Maintaining an upright seated transport posture</w:t>
      </w:r>
    </w:p>
    <w:p>
      <w:pPr>
        <w:spacing w:before="40" w:after="120"/>
        <w:ind w:left="360"/>
      </w:pPr>
      <w:r>
        <w:rPr>
          <w:b/>
          <w:color w:val="BA181B"/>
        </w:rPr>
        <w:t xml:space="preserve">Correct Answer: </w:t>
      </w:r>
      <w:r>
        <w:rPr>
          <w:b/>
        </w:rPr>
        <w:t>C. Positioning the patient supine on the stretcher</w:t>
        <w:br/>
      </w:r>
      <w:r>
        <w:rPr>
          <w:b/>
        </w:rPr>
        <w:t xml:space="preserve">Clinical Rationale: </w:t>
      </w:r>
      <w:r>
        <w:t>Nitroglycerin relaxes vascular smooth muscle, causing profound venous dilation and peripheral blood pooling. When a patient develops symptomatic hypotension, placing them in the supine position (or elevating the lower extremities) utilizes gravity to augment venous return to the right atrium, increasing preload, cardiac output, and cerebral perfusion.</w:t>
      </w:r>
    </w:p>
    <w:p>
      <w:pPr>
        <w:spacing w:before="80" w:after="40"/>
      </w:pPr>
      <w:r>
        <w:rPr>
          <w:b/>
          <w:color w:val="102C57"/>
        </w:rPr>
        <w:t>Question 15: Identification of a Rules-Based Medication Administration Error</w:t>
        <w:br/>
      </w:r>
    </w:p>
    <w:p>
      <w:pPr>
        <w:spacing w:before="20" w:after="20"/>
        <w:ind w:left="360"/>
      </w:pPr>
      <w:r>
        <w:t>A. Delivering a medication despite the presence of clinical contraindications</w:t>
      </w:r>
    </w:p>
    <w:p>
      <w:pPr>
        <w:spacing w:before="20" w:after="20"/>
        <w:ind w:left="360"/>
      </w:pPr>
      <w:r>
        <w:t>B. Administering a drug that falls outside medical director authorization or protocols</w:t>
      </w:r>
    </w:p>
    <w:p>
      <w:pPr>
        <w:spacing w:before="20" w:after="20"/>
        <w:ind w:left="360"/>
      </w:pPr>
      <w:r>
        <w:t>C. Inadvertently preparing and giving a dose higher than the intended order</w:t>
      </w:r>
    </w:p>
    <w:p>
      <w:pPr>
        <w:spacing w:before="20" w:after="20"/>
        <w:ind w:left="360"/>
      </w:pPr>
      <w:r>
        <w:t>D. Selecting the proper agent but delivering it via the incorrect administration route</w:t>
      </w:r>
    </w:p>
    <w:p>
      <w:pPr>
        <w:spacing w:before="40" w:after="120"/>
        <w:ind w:left="360"/>
      </w:pPr>
      <w:r>
        <w:rPr>
          <w:b/>
          <w:color w:val="BA181B"/>
        </w:rPr>
        <w:t xml:space="preserve">Correct Answer: </w:t>
      </w:r>
      <w:r>
        <w:rPr>
          <w:b/>
        </w:rPr>
        <w:t>B. Administering a drug that falls outside medical director authorization or protocols</w:t>
        <w:br/>
      </w:r>
      <w:r>
        <w:rPr>
          <w:b/>
        </w:rPr>
        <w:t xml:space="preserve">Clinical Rationale: </w:t>
      </w:r>
      <w:r>
        <w:t>In the EMS human error taxonomy: (1) Rules-Based Error: Performing an action that violates established protocols, administrative rules, scope of practice, or medical director standing orders (Option B). (2) Knowledge-Based Error: Choosing the wrong drug due to poor understanding of pharmacology, pathology, or contraindications (Option A). (3) Skills-Based Error: Mechanical or procedural slip during execution, such as improper administration technique or incorrect route execution (Option D).</w:t>
      </w:r>
    </w:p>
    <w:p>
      <w:r>
        <w:br w:type="page"/>
      </w:r>
    </w:p>
    <w:p>
      <w:pPr>
        <w:pStyle w:val="Heading1"/>
        <w:spacing w:before="240" w:after="80"/>
      </w:pPr>
      <w:r>
        <w:t>MODULE 4: HIGH-YIELD REFERENCE MATRICES</w:t>
      </w:r>
    </w:p>
    <w:p>
      <w:pPr>
        <w:pStyle w:val="Heading2"/>
        <w:spacing w:before="120" w:after="80"/>
      </w:pPr>
      <w:r>
        <w:t>1. CRM PACE Mnemonic for Assertive Advocacy</w:t>
      </w:r>
    </w:p>
    <w:tbl>
      <w:tblPr>
        <w:tblW w:type="auto" w:w="0"/>
        <w:jc w:val="center"/>
        <w:tblLayout w:type="fixed"/>
        <w:tblLook w:firstColumn="1" w:firstRow="1" w:lastColumn="0" w:lastRow="0" w:noHBand="0" w:noVBand="1" w:val="04A0"/>
      </w:tblPr>
      <w:tblGrid>
        <w:gridCol w:w="3360"/>
        <w:gridCol w:w="3360"/>
        <w:gridCol w:w="3360"/>
      </w:tblGrid>
      <w:tr>
        <w:tc>
          <w:tcPr>
            <w:tcW w:type="dxa" w:w="1728"/>
            <w:shd w:fill="102C57"/>
            <w:tcMar>
              <w:top w:w="80" w:type="dxa"/>
              <w:bottom w:w="80" w:type="dxa"/>
              <w:left w:w="100" w:type="dxa"/>
              <w:right w:w="100" w:type="dxa"/>
            </w:tcMar>
          </w:tcPr>
          <w:p>
            <w:r>
              <w:rPr>
                <w:b/>
                <w:color w:val="FFFFFF"/>
                <w:sz w:val="19"/>
              </w:rPr>
              <w:t>PACE Step</w:t>
            </w:r>
          </w:p>
        </w:tc>
        <w:tc>
          <w:tcPr>
            <w:tcW w:type="dxa" w:w="3312"/>
            <w:shd w:fill="102C57"/>
            <w:tcMar>
              <w:top w:w="80" w:type="dxa"/>
              <w:bottom w:w="80" w:type="dxa"/>
              <w:left w:w="100" w:type="dxa"/>
              <w:right w:w="100" w:type="dxa"/>
            </w:tcMar>
          </w:tcPr>
          <w:p>
            <w:r>
              <w:rPr>
                <w:b/>
                <w:color w:val="FFFFFF"/>
                <w:sz w:val="19"/>
              </w:rPr>
              <w:t>Clinical Objective</w:t>
            </w:r>
          </w:p>
        </w:tc>
        <w:tc>
          <w:tcPr>
            <w:tcW w:type="dxa" w:w="5040"/>
            <w:shd w:fill="102C57"/>
            <w:tcMar>
              <w:top w:w="80" w:type="dxa"/>
              <w:bottom w:w="80" w:type="dxa"/>
              <w:left w:w="100" w:type="dxa"/>
              <w:right w:w="100" w:type="dxa"/>
            </w:tcMar>
          </w:tcPr>
          <w:p>
            <w:r>
              <w:rPr>
                <w:b/>
                <w:color w:val="FFFFFF"/>
                <w:sz w:val="19"/>
              </w:rPr>
              <w:t>Standard Verbal Script</w:t>
            </w:r>
          </w:p>
        </w:tc>
      </w:tr>
      <w:tr>
        <w:tc>
          <w:tcPr>
            <w:tcW w:type="dxa" w:w="1728"/>
            <w:tcMar>
              <w:top w:w="60" w:type="dxa"/>
              <w:bottom w:w="60" w:type="dxa"/>
              <w:left w:w="80" w:type="dxa"/>
              <w:right w:w="80" w:type="dxa"/>
            </w:tcMar>
          </w:tcPr>
          <w:p>
            <w:pPr>
              <w:spacing w:before="0" w:after="0"/>
            </w:pPr>
            <w:r>
              <w:rPr>
                <w:sz w:val="18"/>
              </w:rPr>
              <w:t>P — Probe</w:t>
            </w:r>
          </w:p>
        </w:tc>
        <w:tc>
          <w:tcPr>
            <w:tcW w:type="dxa" w:w="3312"/>
            <w:tcMar>
              <w:top w:w="60" w:type="dxa"/>
              <w:bottom w:w="60" w:type="dxa"/>
              <w:left w:w="80" w:type="dxa"/>
              <w:right w:w="80" w:type="dxa"/>
            </w:tcMar>
          </w:tcPr>
          <w:p>
            <w:pPr>
              <w:spacing w:before="0" w:after="0"/>
            </w:pPr>
            <w:r>
              <w:rPr>
                <w:sz w:val="18"/>
              </w:rPr>
              <w:t>Inquire gently to confirm situational awareness</w:t>
            </w:r>
          </w:p>
        </w:tc>
        <w:tc>
          <w:tcPr>
            <w:tcW w:type="dxa" w:w="5040"/>
            <w:tcMar>
              <w:top w:w="60" w:type="dxa"/>
              <w:bottom w:w="60" w:type="dxa"/>
              <w:left w:w="80" w:type="dxa"/>
              <w:right w:w="80" w:type="dxa"/>
            </w:tcMar>
          </w:tcPr>
          <w:p>
            <w:pPr>
              <w:spacing w:before="0" w:after="0"/>
            </w:pPr>
            <w:r>
              <w:rPr>
                <w:sz w:val="18"/>
              </w:rPr>
              <w:t>'Do you see the patient's oxygen saturation reading?'</w:t>
            </w:r>
          </w:p>
        </w:tc>
      </w:tr>
      <w:tr>
        <w:tc>
          <w:tcPr>
            <w:tcW w:type="dxa" w:w="1728"/>
            <w:shd w:fill="F2F5F9"/>
            <w:tcMar>
              <w:top w:w="60" w:type="dxa"/>
              <w:bottom w:w="60" w:type="dxa"/>
              <w:left w:w="80" w:type="dxa"/>
              <w:right w:w="80" w:type="dxa"/>
            </w:tcMar>
          </w:tcPr>
          <w:p>
            <w:pPr>
              <w:spacing w:before="0" w:after="0"/>
            </w:pPr>
            <w:r>
              <w:rPr>
                <w:sz w:val="18"/>
              </w:rPr>
              <w:t>A — Alert</w:t>
            </w:r>
          </w:p>
        </w:tc>
        <w:tc>
          <w:tcPr>
            <w:tcW w:type="dxa" w:w="3312"/>
            <w:shd w:fill="F2F5F9"/>
            <w:tcMar>
              <w:top w:w="60" w:type="dxa"/>
              <w:bottom w:w="60" w:type="dxa"/>
              <w:left w:w="80" w:type="dxa"/>
              <w:right w:w="80" w:type="dxa"/>
            </w:tcMar>
          </w:tcPr>
          <w:p>
            <w:pPr>
              <w:spacing w:before="0" w:after="0"/>
            </w:pPr>
            <w:r>
              <w:rPr>
                <w:sz w:val="18"/>
              </w:rPr>
              <w:t>State the objective clinical finding unambiguously</w:t>
            </w:r>
          </w:p>
        </w:tc>
        <w:tc>
          <w:tcPr>
            <w:tcW w:type="dxa" w:w="5040"/>
            <w:shd w:fill="F2F5F9"/>
            <w:tcMar>
              <w:top w:w="60" w:type="dxa"/>
              <w:bottom w:w="60" w:type="dxa"/>
              <w:left w:w="80" w:type="dxa"/>
              <w:right w:w="80" w:type="dxa"/>
            </w:tcMar>
          </w:tcPr>
          <w:p>
            <w:pPr>
              <w:spacing w:before="0" w:after="0"/>
            </w:pPr>
            <w:r>
              <w:rPr>
                <w:sz w:val="18"/>
              </w:rPr>
              <w:t>'The SpO2 is dropping rapidly and is currently at 82%.'</w:t>
            </w:r>
          </w:p>
        </w:tc>
      </w:tr>
      <w:tr>
        <w:tc>
          <w:tcPr>
            <w:tcW w:type="dxa" w:w="1728"/>
            <w:tcMar>
              <w:top w:w="60" w:type="dxa"/>
              <w:bottom w:w="60" w:type="dxa"/>
              <w:left w:w="80" w:type="dxa"/>
              <w:right w:w="80" w:type="dxa"/>
            </w:tcMar>
          </w:tcPr>
          <w:p>
            <w:pPr>
              <w:spacing w:before="0" w:after="0"/>
            </w:pPr>
            <w:r>
              <w:rPr>
                <w:sz w:val="18"/>
              </w:rPr>
              <w:t>C — Challenge</w:t>
            </w:r>
          </w:p>
        </w:tc>
        <w:tc>
          <w:tcPr>
            <w:tcW w:type="dxa" w:w="3312"/>
            <w:tcMar>
              <w:top w:w="60" w:type="dxa"/>
              <w:bottom w:w="60" w:type="dxa"/>
              <w:left w:w="80" w:type="dxa"/>
              <w:right w:w="80" w:type="dxa"/>
            </w:tcMar>
          </w:tcPr>
          <w:p>
            <w:pPr>
              <w:spacing w:before="0" w:after="0"/>
            </w:pPr>
            <w:r>
              <w:rPr>
                <w:sz w:val="18"/>
              </w:rPr>
              <w:t>Directly confront the action and propose safe solution</w:t>
            </w:r>
          </w:p>
        </w:tc>
        <w:tc>
          <w:tcPr>
            <w:tcW w:type="dxa" w:w="5040"/>
            <w:tcMar>
              <w:top w:w="60" w:type="dxa"/>
              <w:bottom w:w="60" w:type="dxa"/>
              <w:left w:w="80" w:type="dxa"/>
              <w:right w:w="80" w:type="dxa"/>
            </w:tcMar>
          </w:tcPr>
          <w:p>
            <w:pPr>
              <w:spacing w:before="0" w:after="0"/>
            </w:pPr>
            <w:r>
              <w:rPr>
                <w:sz w:val="18"/>
              </w:rPr>
              <w:t>'We need to stop the intubation attempt and bag the patient immediately.'</w:t>
            </w:r>
          </w:p>
        </w:tc>
      </w:tr>
      <w:tr>
        <w:tc>
          <w:tcPr>
            <w:tcW w:type="dxa" w:w="1728"/>
            <w:shd w:fill="F2F5F9"/>
            <w:tcMar>
              <w:top w:w="60" w:type="dxa"/>
              <w:bottom w:w="60" w:type="dxa"/>
              <w:left w:w="80" w:type="dxa"/>
              <w:right w:w="80" w:type="dxa"/>
            </w:tcMar>
          </w:tcPr>
          <w:p>
            <w:pPr>
              <w:spacing w:before="0" w:after="0"/>
            </w:pPr>
            <w:r>
              <w:rPr>
                <w:sz w:val="18"/>
              </w:rPr>
              <w:t>E — Emergency</w:t>
            </w:r>
          </w:p>
        </w:tc>
        <w:tc>
          <w:tcPr>
            <w:tcW w:type="dxa" w:w="3312"/>
            <w:shd w:fill="F2F5F9"/>
            <w:tcMar>
              <w:top w:w="60" w:type="dxa"/>
              <w:bottom w:w="60" w:type="dxa"/>
              <w:left w:w="80" w:type="dxa"/>
              <w:right w:w="80" w:type="dxa"/>
            </w:tcMar>
          </w:tcPr>
          <w:p>
            <w:pPr>
              <w:spacing w:before="0" w:after="0"/>
            </w:pPr>
            <w:r>
              <w:rPr>
                <w:sz w:val="18"/>
              </w:rPr>
              <w:t>Direct, unequivocal intervention to halt patient harm</w:t>
            </w:r>
          </w:p>
        </w:tc>
        <w:tc>
          <w:tcPr>
            <w:tcW w:type="dxa" w:w="5040"/>
            <w:shd w:fill="F2F5F9"/>
            <w:tcMar>
              <w:top w:w="60" w:type="dxa"/>
              <w:bottom w:w="60" w:type="dxa"/>
              <w:left w:w="80" w:type="dxa"/>
              <w:right w:w="80" w:type="dxa"/>
            </w:tcMar>
          </w:tcPr>
          <w:p>
            <w:pPr>
              <w:spacing w:before="0" w:after="0"/>
            </w:pPr>
            <w:r>
              <w:rPr>
                <w:sz w:val="18"/>
              </w:rPr>
              <w:t>'Stop! Stand down, I am taking the airway to ventilate now!'</w:t>
            </w:r>
          </w:p>
        </w:tc>
      </w:tr>
    </w:tbl>
    <w:p>
      <w:pPr>
        <w:spacing w:after="200"/>
      </w:pPr>
    </w:p>
    <w:p>
      <w:pPr>
        <w:pStyle w:val="Heading2"/>
        <w:spacing w:before="120" w:after="80"/>
      </w:pPr>
      <w:r>
        <w:t>2. EMS Medical Error Taxonomy</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BA181B"/>
            <w:tcMar>
              <w:top w:w="80" w:type="dxa"/>
              <w:bottom w:w="80" w:type="dxa"/>
              <w:left w:w="100" w:type="dxa"/>
              <w:right w:w="100" w:type="dxa"/>
            </w:tcMar>
          </w:tcPr>
          <w:p>
            <w:r>
              <w:rPr>
                <w:b/>
                <w:color w:val="FFFFFF"/>
                <w:sz w:val="19"/>
              </w:rPr>
              <w:t>Error Type</w:t>
            </w:r>
          </w:p>
        </w:tc>
        <w:tc>
          <w:tcPr>
            <w:tcW w:type="dxa" w:w="3168"/>
            <w:shd w:fill="BA181B"/>
            <w:tcMar>
              <w:top w:w="80" w:type="dxa"/>
              <w:bottom w:w="80" w:type="dxa"/>
              <w:left w:w="100" w:type="dxa"/>
              <w:right w:w="100" w:type="dxa"/>
            </w:tcMar>
          </w:tcPr>
          <w:p>
            <w:r>
              <w:rPr>
                <w:b/>
                <w:color w:val="FFFFFF"/>
                <w:sz w:val="19"/>
              </w:rPr>
              <w:t>Core Mechanism</w:t>
            </w:r>
          </w:p>
        </w:tc>
        <w:tc>
          <w:tcPr>
            <w:tcW w:type="dxa" w:w="4320"/>
            <w:shd w:fill="BA181B"/>
            <w:tcMar>
              <w:top w:w="80" w:type="dxa"/>
              <w:bottom w:w="80" w:type="dxa"/>
              <w:left w:w="100" w:type="dxa"/>
              <w:right w:w="100" w:type="dxa"/>
            </w:tcMar>
          </w:tcPr>
          <w:p>
            <w:r>
              <w:rPr>
                <w:b/>
                <w:color w:val="FFFFFF"/>
                <w:sz w:val="19"/>
              </w:rPr>
              <w:t>Clinical Field Example</w:t>
            </w:r>
          </w:p>
        </w:tc>
      </w:tr>
      <w:tr>
        <w:tc>
          <w:tcPr>
            <w:tcW w:type="dxa" w:w="2592"/>
            <w:tcMar>
              <w:top w:w="60" w:type="dxa"/>
              <w:bottom w:w="60" w:type="dxa"/>
              <w:left w:w="80" w:type="dxa"/>
              <w:right w:w="80" w:type="dxa"/>
            </w:tcMar>
          </w:tcPr>
          <w:p>
            <w:pPr>
              <w:spacing w:before="0" w:after="0"/>
            </w:pPr>
            <w:r>
              <w:rPr>
                <w:sz w:val="18"/>
              </w:rPr>
              <w:t>Rules-Based Error</w:t>
            </w:r>
          </w:p>
        </w:tc>
        <w:tc>
          <w:tcPr>
            <w:tcW w:type="dxa" w:w="3168"/>
            <w:tcMar>
              <w:top w:w="60" w:type="dxa"/>
              <w:bottom w:w="60" w:type="dxa"/>
              <w:left w:w="80" w:type="dxa"/>
              <w:right w:w="80" w:type="dxa"/>
            </w:tcMar>
          </w:tcPr>
          <w:p>
            <w:pPr>
              <w:spacing w:before="0" w:after="0"/>
            </w:pPr>
            <w:r>
              <w:rPr>
                <w:sz w:val="18"/>
              </w:rPr>
              <w:t>Action violates established protocols, scope of practice, or medical director rules</w:t>
            </w:r>
          </w:p>
        </w:tc>
        <w:tc>
          <w:tcPr>
            <w:tcW w:type="dxa" w:w="4320"/>
            <w:tcMar>
              <w:top w:w="60" w:type="dxa"/>
              <w:bottom w:w="60" w:type="dxa"/>
              <w:left w:w="80" w:type="dxa"/>
              <w:right w:w="80" w:type="dxa"/>
            </w:tcMar>
          </w:tcPr>
          <w:p>
            <w:pPr>
              <w:spacing w:before="0" w:after="0"/>
            </w:pPr>
            <w:r>
              <w:rPr>
                <w:sz w:val="18"/>
              </w:rPr>
              <w:t>Administering a medication not authorized by your agency's standing orders or scope.</w:t>
            </w:r>
          </w:p>
        </w:tc>
      </w:tr>
      <w:tr>
        <w:tc>
          <w:tcPr>
            <w:tcW w:type="dxa" w:w="2592"/>
            <w:shd w:fill="FBF2F2"/>
            <w:tcMar>
              <w:top w:w="60" w:type="dxa"/>
              <w:bottom w:w="60" w:type="dxa"/>
              <w:left w:w="80" w:type="dxa"/>
              <w:right w:w="80" w:type="dxa"/>
            </w:tcMar>
          </w:tcPr>
          <w:p>
            <w:pPr>
              <w:spacing w:before="0" w:after="0"/>
            </w:pPr>
            <w:r>
              <w:rPr>
                <w:sz w:val="18"/>
              </w:rPr>
              <w:t>Knowledge-Based Error</w:t>
            </w:r>
          </w:p>
        </w:tc>
        <w:tc>
          <w:tcPr>
            <w:tcW w:type="dxa" w:w="3168"/>
            <w:shd w:fill="FBF2F2"/>
            <w:tcMar>
              <w:top w:w="60" w:type="dxa"/>
              <w:bottom w:w="60" w:type="dxa"/>
              <w:left w:w="80" w:type="dxa"/>
              <w:right w:w="80" w:type="dxa"/>
            </w:tcMar>
          </w:tcPr>
          <w:p>
            <w:pPr>
              <w:spacing w:before="0" w:after="0"/>
            </w:pPr>
            <w:r>
              <w:rPr>
                <w:sz w:val="18"/>
              </w:rPr>
              <w:t>Choosing the incorrect intervention due to flawed understanding of medicine</w:t>
            </w:r>
          </w:p>
        </w:tc>
        <w:tc>
          <w:tcPr>
            <w:tcW w:type="dxa" w:w="4320"/>
            <w:shd w:fill="FBF2F2"/>
            <w:tcMar>
              <w:top w:w="60" w:type="dxa"/>
              <w:bottom w:w="60" w:type="dxa"/>
              <w:left w:w="80" w:type="dxa"/>
              <w:right w:w="80" w:type="dxa"/>
            </w:tcMar>
          </w:tcPr>
          <w:p>
            <w:pPr>
              <w:spacing w:before="0" w:after="0"/>
            </w:pPr>
            <w:r>
              <w:rPr>
                <w:sz w:val="18"/>
              </w:rPr>
              <w:t>Administering nitroglycerin to a patient with a confirmed right ventricular infarction or SBP &lt; 100.</w:t>
            </w:r>
          </w:p>
        </w:tc>
      </w:tr>
      <w:tr>
        <w:tc>
          <w:tcPr>
            <w:tcW w:type="dxa" w:w="2592"/>
            <w:tcMar>
              <w:top w:w="60" w:type="dxa"/>
              <w:bottom w:w="60" w:type="dxa"/>
              <w:left w:w="80" w:type="dxa"/>
              <w:right w:w="80" w:type="dxa"/>
            </w:tcMar>
          </w:tcPr>
          <w:p>
            <w:pPr>
              <w:spacing w:before="0" w:after="0"/>
            </w:pPr>
            <w:r>
              <w:rPr>
                <w:sz w:val="18"/>
              </w:rPr>
              <w:t>Skills-Based Error</w:t>
            </w:r>
          </w:p>
        </w:tc>
        <w:tc>
          <w:tcPr>
            <w:tcW w:type="dxa" w:w="3168"/>
            <w:tcMar>
              <w:top w:w="60" w:type="dxa"/>
              <w:bottom w:w="60" w:type="dxa"/>
              <w:left w:w="80" w:type="dxa"/>
              <w:right w:w="80" w:type="dxa"/>
            </w:tcMar>
          </w:tcPr>
          <w:p>
            <w:pPr>
              <w:spacing w:before="0" w:after="0"/>
            </w:pPr>
            <w:r>
              <w:rPr>
                <w:sz w:val="18"/>
              </w:rPr>
              <w:t>Mechanical or procedural slip during physical execution of a skill</w:t>
            </w:r>
          </w:p>
        </w:tc>
        <w:tc>
          <w:tcPr>
            <w:tcW w:type="dxa" w:w="4320"/>
            <w:tcMar>
              <w:top w:w="60" w:type="dxa"/>
              <w:bottom w:w="60" w:type="dxa"/>
              <w:left w:w="80" w:type="dxa"/>
              <w:right w:w="80" w:type="dxa"/>
            </w:tcMar>
          </w:tcPr>
          <w:p>
            <w:pPr>
              <w:spacing w:before="0" w:after="0"/>
            </w:pPr>
            <w:r>
              <w:rPr>
                <w:sz w:val="18"/>
              </w:rPr>
              <w:t>Failing to clear air from an IV administration line before connecting it to the catheter.</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