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240"/>
          <w:sz w:val="42"/>
        </w:rPr>
        <w:t>KING COUNTY EMS TRAINING DIVISION</w:t>
        <w:br/>
        <w:t>BLOCK #3 COMPREHENSIVE LECTURE MASTER NOTES</w:t>
      </w:r>
    </w:p>
    <w:p>
      <w:pPr>
        <w:jc w:val="center"/>
      </w:pPr>
      <w:r>
        <w:rPr>
          <w:rFonts w:ascii="Arial" w:hAnsi="Arial"/>
          <w:i/>
          <w:color w:val="3C3C3C"/>
          <w:sz w:val="20"/>
        </w:rPr>
        <w:t>Chapters 12 &amp; 19: Principles of Pharmacology, Gastrointestinal &amp; Urologic Emergencies</w:t>
        <w:br/>
        <w:t>Lecture Date: Monday, October 26, 2026 (1800–2200 hrs) | Course ID: KCEMS-7CDE86</w:t>
        <w:br/>
        <w:t>Textbook: AAOS Emergency Care and Transportation of the Sick and Injured (12th Edition)</w:t>
      </w:r>
    </w:p>
    <w:p>
      <w:pPr>
        <w:jc w:val="center"/>
      </w:pPr>
      <w:r>
        <w:t>—————————————————————————————————————————————————————————————————</w:t>
      </w:r>
    </w:p>
    <w:p>
      <w:pPr>
        <w:spacing w:before="280" w:after="60"/>
      </w:pPr>
      <w:r>
        <w:rPr>
          <w:rFonts w:ascii="Arial" w:hAnsi="Arial"/>
          <w:b/>
          <w:color w:val="0F2240"/>
          <w:sz w:val="28"/>
        </w:rPr>
        <w:t>MODULE 1: CHAPTER 12 — PRINCIPLES OF PHARMACOLOGY</w:t>
      </w:r>
    </w:p>
    <w:p>
      <w:pPr>
        <w:spacing w:after="80" w:before="0"/>
      </w:pPr>
      <w:r>
        <w:t>―――――――――――――――――――――――――――――――――――――――――――――――――――――――</w:t>
      </w:r>
    </w:p>
    <w:p>
      <w:pPr>
        <w:spacing w:before="180" w:after="40"/>
      </w:pPr>
      <w:r>
        <w:rPr>
          <w:rFonts w:ascii="Arial" w:hAnsi="Arial"/>
          <w:b/>
          <w:color w:val="A01414"/>
          <w:sz w:val="23"/>
        </w:rPr>
        <w:t>1.1 National EMS Competencies &amp; Clinical Scope</w:t>
      </w:r>
    </w:p>
    <w:p>
      <w:pPr>
        <w:spacing w:after="60" w:line="276" w:lineRule="auto"/>
      </w:pPr>
      <w:r>
        <w:rPr>
          <w:rFonts w:ascii="Arial" w:hAnsi="Arial"/>
          <w:sz w:val="19"/>
        </w:rPr>
        <w:t>Pharmacology is the science of drugs and medications. In prehospital emergency care, medication administration is one of the highest-acuity interventions an EMT performs. While properly administered medications relieve pain, reverse life-threatening bronchospasm, and restore perfusion, administration errors can directly cause patient deterioration or fatal cardiovascular collapse.</w:t>
      </w:r>
    </w:p>
    <w:p>
      <w:pPr>
        <w:pStyle w:val="ListBullet"/>
        <w:spacing w:after="40"/>
      </w:pPr>
      <w:r>
        <w:rPr>
          <w:rFonts w:ascii="Arial" w:hAnsi="Arial"/>
          <w:b/>
          <w:sz w:val="19"/>
        </w:rPr>
        <w:t xml:space="preserve">EMT Scope Competencies: </w:t>
      </w:r>
      <w:r>
        <w:rPr>
          <w:rFonts w:ascii="Arial" w:hAnsi="Arial"/>
          <w:sz w:val="19"/>
        </w:rPr>
        <w:t>Applies fundamental knowledge of medications that an EMT may assist or administer during an emergency, including mechanisms, indications, contraindications, complications, routes, side effects, and adult/pediatric dosages.</w:t>
      </w:r>
    </w:p>
    <w:p>
      <w:pPr>
        <w:pStyle w:val="ListBullet"/>
        <w:spacing w:after="40"/>
      </w:pPr>
      <w:r>
        <w:rPr>
          <w:rFonts w:ascii="Arial" w:hAnsi="Arial"/>
          <w:b/>
          <w:sz w:val="19"/>
        </w:rPr>
        <w:t xml:space="preserve">Administration Modalities: </w:t>
      </w:r>
      <w:r>
        <w:rPr>
          <w:rFonts w:ascii="Arial" w:hAnsi="Arial"/>
          <w:sz w:val="19"/>
        </w:rPr>
        <w:t>1. Peer-assisted (administering to a crew member, e.g., Mark I/DuoDote nerve antidote); 2. Patient-assisted (helping patient take their own prescribed medication, e.g., Nitroglycerin, MDI); 3. EMT-administered (directly administering agency stock medications, e.g., Aspirin, Oxygen, Oral Glucose, Naloxone, Epinephrine).</w:t>
      </w:r>
    </w:p>
    <w:p>
      <w:pPr>
        <w:spacing w:before="180" w:after="40"/>
      </w:pPr>
      <w:r>
        <w:rPr>
          <w:rFonts w:ascii="Arial" w:hAnsi="Arial"/>
          <w:b/>
          <w:color w:val="A01414"/>
          <w:sz w:val="23"/>
        </w:rPr>
        <w:t>1.2 Core Pharmacological Definitions &amp; Mechanics</w:t>
      </w:r>
    </w:p>
    <w:p>
      <w:pPr>
        <w:pStyle w:val="ListBullet"/>
        <w:spacing w:after="40"/>
      </w:pPr>
      <w:r>
        <w:rPr>
          <w:rFonts w:ascii="Arial" w:hAnsi="Arial"/>
          <w:b/>
          <w:sz w:val="19"/>
        </w:rPr>
        <w:t xml:space="preserve">Pharmacodynamics: </w:t>
      </w:r>
      <w:r>
        <w:rPr>
          <w:rFonts w:ascii="Arial" w:hAnsi="Arial"/>
          <w:sz w:val="19"/>
        </w:rPr>
        <w:t>The process by which a medication works on the body. It describes how the drug binds to target receptors, alters normal cellular physiology, and creates expected clinical therapeutic actions.</w:t>
      </w:r>
    </w:p>
    <w:p>
      <w:pPr>
        <w:pStyle w:val="ListBullet"/>
        <w:spacing w:after="40"/>
      </w:pPr>
      <w:r>
        <w:rPr>
          <w:rFonts w:ascii="Arial" w:hAnsi="Arial"/>
          <w:b/>
          <w:sz w:val="19"/>
        </w:rPr>
        <w:t xml:space="preserve">Pharmacokinetics: </w:t>
      </w:r>
      <w:r>
        <w:rPr>
          <w:rFonts w:ascii="Arial" w:hAnsi="Arial"/>
          <w:sz w:val="19"/>
        </w:rPr>
        <w:t>The study of the body's actions upon the medication over time: Absorption, Distribution, Metabolism (biotransformation), and Elimination (excretion via kidneys or liver). Factors like shock, hypoperfusion, and age alter pharmacokinetics significantly.</w:t>
      </w:r>
    </w:p>
    <w:p>
      <w:pPr>
        <w:pStyle w:val="ListBullet"/>
        <w:spacing w:after="40"/>
      </w:pPr>
      <w:r>
        <w:rPr>
          <w:rFonts w:ascii="Arial" w:hAnsi="Arial"/>
          <w:b/>
          <w:sz w:val="19"/>
        </w:rPr>
        <w:t xml:space="preserve">Agonist: </w:t>
      </w:r>
      <w:r>
        <w:rPr>
          <w:rFonts w:ascii="Arial" w:hAnsi="Arial"/>
          <w:sz w:val="19"/>
        </w:rPr>
        <w:t>A medication or chemical that binds to a specific receptor site and causes stimulation of that receptor, producing a cellular effect (e.g., Albuterol is a Beta-2 agonist that stimulates bronchial smooth muscle relaxation).</w:t>
      </w:r>
    </w:p>
    <w:p>
      <w:pPr>
        <w:pStyle w:val="ListBullet"/>
        <w:spacing w:after="40"/>
      </w:pPr>
      <w:r>
        <w:rPr>
          <w:rFonts w:ascii="Arial" w:hAnsi="Arial"/>
          <w:b/>
          <w:sz w:val="19"/>
        </w:rPr>
        <w:t xml:space="preserve">Antagonist (Blocker): </w:t>
      </w:r>
      <w:r>
        <w:rPr>
          <w:rFonts w:ascii="Arial" w:hAnsi="Arial"/>
          <w:sz w:val="19"/>
        </w:rPr>
        <w:t>A medication that binds to a cellular receptor and blocks other medications or endogenous chemicals from binding, preventing cellular stimulation (e.g., Naloxone is an opioid antagonist that competitively displaces opioids from mu-receptors).</w:t>
      </w:r>
    </w:p>
    <w:p>
      <w:pPr>
        <w:pStyle w:val="ListBullet"/>
        <w:spacing w:after="40"/>
      </w:pPr>
      <w:r>
        <w:rPr>
          <w:rFonts w:ascii="Arial" w:hAnsi="Arial"/>
          <w:b/>
          <w:sz w:val="19"/>
        </w:rPr>
        <w:t xml:space="preserve">Dose &amp; Action: </w:t>
      </w:r>
      <w:r>
        <w:rPr>
          <w:rFonts w:ascii="Arial" w:hAnsi="Arial"/>
          <w:sz w:val="19"/>
        </w:rPr>
        <w:t>Dose is the exact quantitative amount of medication administered based on age, weight, and clinical status. Action is the intended therapeutic effect the drug is expected to deliver.</w:t>
      </w:r>
    </w:p>
    <w:p>
      <w:pPr>
        <w:pStyle w:val="ListBullet"/>
        <w:spacing w:after="40"/>
      </w:pPr>
      <w:r>
        <w:rPr>
          <w:rFonts w:ascii="Arial" w:hAnsi="Arial"/>
          <w:b/>
          <w:sz w:val="19"/>
        </w:rPr>
        <w:t xml:space="preserve">Adverse Effects: </w:t>
      </w:r>
      <w:r>
        <w:rPr>
          <w:rFonts w:ascii="Arial" w:hAnsi="Arial"/>
          <w:sz w:val="19"/>
        </w:rPr>
        <w:t>Unintended effects are predictable, non-harmful side effects (e.g., mild flushing or peripheral tingling from sublingual Nitro). Untoward effects are unexpected, potentially harmful adverse reactions that threaten patient stability (e.g., severe anaphylactoid shock from an antibiotic).</w:t>
      </w:r>
    </w:p>
    <w:p>
      <w:pPr>
        <w:pStyle w:val="ListBullet"/>
        <w:spacing w:after="40"/>
      </w:pPr>
      <w:r>
        <w:rPr>
          <w:rFonts w:ascii="Arial" w:hAnsi="Arial"/>
          <w:b/>
          <w:sz w:val="19"/>
        </w:rPr>
        <w:t xml:space="preserve">Indications vs. Contraindications: </w:t>
      </w:r>
      <w:r>
        <w:rPr>
          <w:rFonts w:ascii="Arial" w:hAnsi="Arial"/>
          <w:sz w:val="19"/>
        </w:rPr>
        <w:t>Indications are the specific therapeutic reasons for giving a drug. Absolute contraindications are conditions where the drug will cause fatal or severe harm and MUST NEVER be administered (e.g., Nitro when systolic BP &lt; 100). Relative contraindications mean the benefits may outweigh potential risks under physician guidance.</w:t>
      </w:r>
    </w:p>
    <w:p>
      <w:pPr>
        <w:spacing w:before="180" w:after="40"/>
      </w:pPr>
      <w:r>
        <w:rPr>
          <w:rFonts w:ascii="Arial" w:hAnsi="Arial"/>
          <w:b/>
          <w:color w:val="A01414"/>
          <w:sz w:val="23"/>
        </w:rPr>
        <w:t>1.3 Medication Nomenclature &amp; Regulatory Classification</w:t>
      </w:r>
    </w:p>
    <w:p>
      <w:pPr>
        <w:pStyle w:val="ListBullet"/>
        <w:spacing w:after="40"/>
      </w:pPr>
      <w:r>
        <w:rPr>
          <w:rFonts w:ascii="Arial" w:hAnsi="Arial"/>
          <w:b/>
          <w:sz w:val="19"/>
        </w:rPr>
        <w:t xml:space="preserve">Generic Name: </w:t>
      </w:r>
      <w:r>
        <w:rPr>
          <w:rFonts w:ascii="Arial" w:hAnsi="Arial"/>
          <w:sz w:val="19"/>
        </w:rPr>
        <w:t>The simple, clear, universally recognized nonproprietary name assigned to a drug (e.g., ibuprofen, acetaminophen, epinephrine).</w:t>
      </w:r>
    </w:p>
    <w:p>
      <w:pPr>
        <w:pStyle w:val="ListBullet"/>
        <w:spacing w:after="40"/>
      </w:pPr>
      <w:r>
        <w:rPr>
          <w:rFonts w:ascii="Arial" w:hAnsi="Arial"/>
          <w:b/>
          <w:sz w:val="19"/>
        </w:rPr>
        <w:t xml:space="preserve">Trade Name: </w:t>
      </w:r>
      <w:r>
        <w:rPr>
          <w:rFonts w:ascii="Arial" w:hAnsi="Arial"/>
          <w:sz w:val="19"/>
        </w:rPr>
        <w:t>The proprietary brand name given by the pharmaceutical manufacturer under trademark (e.g., Motrin or Advil for ibuprofen; Tylenol for acetaminophen; EpiPen for epinephrine).</w:t>
      </w:r>
    </w:p>
    <w:p>
      <w:pPr>
        <w:pStyle w:val="ListBullet"/>
        <w:spacing w:after="40"/>
      </w:pPr>
      <w:r>
        <w:rPr>
          <w:rFonts w:ascii="Arial" w:hAnsi="Arial"/>
          <w:b/>
          <w:sz w:val="19"/>
        </w:rPr>
        <w:t xml:space="preserve">Over-the-Counter (OTC) vs. Prescription: </w:t>
      </w:r>
      <w:r>
        <w:rPr>
          <w:rFonts w:ascii="Arial" w:hAnsi="Arial"/>
          <w:sz w:val="19"/>
        </w:rPr>
        <w:t>OTC medications can be purchased legally without a physician order (aspirin, antacids). Prescription medications require authorized physician direction. EMTs must systematically catalog all patient OTCs, vitamins, and herbal remedies, as herbs (e.g., St. John's Wort, Ginkgo biloba) interact severely with prescription blood thinners and cardiac medications.</w:t>
      </w:r>
    </w:p>
    <w:p>
      <w:pPr>
        <w:spacing w:before="180" w:after="40"/>
      </w:pPr>
      <w:r>
        <w:rPr>
          <w:rFonts w:ascii="Arial" w:hAnsi="Arial"/>
          <w:b/>
          <w:color w:val="A01414"/>
          <w:sz w:val="23"/>
        </w:rPr>
        <w:t>1.4 Routes of Administration &amp; Absorption Rates</w:t>
      </w:r>
    </w:p>
    <w:p>
      <w:pPr>
        <w:spacing w:after="60" w:line="276" w:lineRule="auto"/>
      </w:pPr>
      <w:r>
        <w:rPr>
          <w:rFonts w:ascii="Arial" w:hAnsi="Arial"/>
          <w:sz w:val="19"/>
        </w:rPr>
        <w:t>Medications are categorized into Enteral (entering through the digestive system) and Parenteral (entering via non-digestive pathways such as injection, inhalation, or transmucosal absorption).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F2240"/>
          </w:tcPr>
          <w:p>
            <w:r>
              <w:rPr>
                <w:rFonts w:ascii="Arial" w:hAnsi="Arial"/>
                <w:b/>
                <w:color w:val="FFFFFF"/>
                <w:sz w:val="17"/>
              </w:rPr>
              <w:t>Route</w:t>
            </w:r>
          </w:p>
        </w:tc>
        <w:tc>
          <w:tcPr>
            <w:tcW w:type="dxa" w:w="1440"/>
            <w:shd w:fill="0F2240"/>
          </w:tcPr>
          <w:p>
            <w:r>
              <w:rPr>
                <w:rFonts w:ascii="Arial" w:hAnsi="Arial"/>
                <w:b/>
                <w:color w:val="FFFFFF"/>
                <w:sz w:val="17"/>
              </w:rPr>
              <w:t>Type</w:t>
            </w:r>
          </w:p>
        </w:tc>
        <w:tc>
          <w:tcPr>
            <w:tcW w:type="dxa" w:w="1872"/>
            <w:shd w:fill="0F2240"/>
          </w:tcPr>
          <w:p>
            <w:r>
              <w:rPr>
                <w:rFonts w:ascii="Arial" w:hAnsi="Arial"/>
                <w:b/>
                <w:color w:val="FFFFFF"/>
                <w:sz w:val="17"/>
              </w:rPr>
              <w:t>Absorption Rate</w:t>
            </w:r>
          </w:p>
        </w:tc>
        <w:tc>
          <w:tcPr>
            <w:tcW w:type="dxa" w:w="4752"/>
            <w:shd w:fill="0F2240"/>
          </w:tcPr>
          <w:p>
            <w:r>
              <w:rPr>
                <w:rFonts w:ascii="Arial" w:hAnsi="Arial"/>
                <w:b/>
                <w:color w:val="FFFFFF"/>
                <w:sz w:val="17"/>
              </w:rPr>
              <w:t>Clinical Applications &amp; EMT Examples</w:t>
            </w:r>
          </w:p>
        </w:tc>
      </w:tr>
      <w:tr>
        <w:tc>
          <w:tcPr>
            <w:tcW w:type="dxa" w:w="1728"/>
          </w:tcPr>
          <w:p>
            <w:pPr>
              <w:spacing w:before="40" w:after="40"/>
            </w:pPr>
            <w:r>
              <w:rPr>
                <w:rFonts w:ascii="Arial" w:hAnsi="Arial"/>
                <w:b/>
                <w:sz w:val="17"/>
              </w:rPr>
              <w:t>Intravenous (IV)</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Immediate (Seconds)</w:t>
            </w:r>
          </w:p>
        </w:tc>
        <w:tc>
          <w:tcPr>
            <w:tcW w:type="dxa" w:w="4752"/>
          </w:tcPr>
          <w:p>
            <w:pPr>
              <w:spacing w:before="40" w:after="40"/>
            </w:pPr>
            <w:r>
              <w:rPr>
                <w:rFonts w:ascii="Arial" w:hAnsi="Arial"/>
                <w:sz w:val="17"/>
              </w:rPr>
              <w:t>Direct vascular access. Fastest, 100% bioavailability. ALS paramedic scope.</w:t>
            </w:r>
          </w:p>
        </w:tc>
      </w:tr>
      <w:tr>
        <w:tc>
          <w:tcPr>
            <w:tcW w:type="dxa" w:w="1728"/>
          </w:tcPr>
          <w:p>
            <w:pPr>
              <w:spacing w:before="40" w:after="40"/>
            </w:pPr>
            <w:r>
              <w:rPr>
                <w:rFonts w:ascii="Arial" w:hAnsi="Arial"/>
                <w:b/>
                <w:sz w:val="17"/>
              </w:rPr>
              <w:t>Intraosseous (IO)</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Immediate (Seconds)</w:t>
            </w:r>
          </w:p>
        </w:tc>
        <w:tc>
          <w:tcPr>
            <w:tcW w:type="dxa" w:w="4752"/>
          </w:tcPr>
          <w:p>
            <w:pPr>
              <w:spacing w:before="40" w:after="40"/>
            </w:pPr>
            <w:r>
              <w:rPr>
                <w:rFonts w:ascii="Arial" w:hAnsi="Arial"/>
                <w:sz w:val="17"/>
              </w:rPr>
              <w:t>Needle into non-collapsible bone marrow cavity; equivalent to IV in pediatric/cardiac arrest.</w:t>
            </w:r>
          </w:p>
        </w:tc>
      </w:tr>
      <w:tr>
        <w:tc>
          <w:tcPr>
            <w:tcW w:type="dxa" w:w="1728"/>
          </w:tcPr>
          <w:p>
            <w:pPr>
              <w:spacing w:before="40" w:after="40"/>
            </w:pPr>
            <w:r>
              <w:rPr>
                <w:rFonts w:ascii="Arial" w:hAnsi="Arial"/>
                <w:b/>
                <w:sz w:val="17"/>
              </w:rPr>
              <w:t>Sublingual (SL)</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Rapid (1–3 min)</w:t>
            </w:r>
          </w:p>
        </w:tc>
        <w:tc>
          <w:tcPr>
            <w:tcW w:type="dxa" w:w="4752"/>
          </w:tcPr>
          <w:p>
            <w:pPr>
              <w:spacing w:before="40" w:after="40"/>
            </w:pPr>
            <w:r>
              <w:rPr>
                <w:rFonts w:ascii="Arial" w:hAnsi="Arial"/>
                <w:sz w:val="17"/>
              </w:rPr>
              <w:t>Placed under tongue; highly vascular mucosal absorption without hepatic first-pass. E.g., Nitroglycerin.</w:t>
            </w:r>
          </w:p>
        </w:tc>
      </w:tr>
      <w:tr>
        <w:tc>
          <w:tcPr>
            <w:tcW w:type="dxa" w:w="1728"/>
          </w:tcPr>
          <w:p>
            <w:pPr>
              <w:spacing w:before="40" w:after="40"/>
            </w:pPr>
            <w:r>
              <w:rPr>
                <w:rFonts w:ascii="Arial" w:hAnsi="Arial"/>
                <w:b/>
                <w:sz w:val="17"/>
              </w:rPr>
              <w:t>Intranasal (IN)</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Rapid (2–3 min)</w:t>
            </w:r>
          </w:p>
        </w:tc>
        <w:tc>
          <w:tcPr>
            <w:tcW w:type="dxa" w:w="4752"/>
          </w:tcPr>
          <w:p>
            <w:pPr>
              <w:spacing w:before="40" w:after="40"/>
            </w:pPr>
            <w:r>
              <w:rPr>
                <w:rFonts w:ascii="Arial" w:hAnsi="Arial"/>
                <w:sz w:val="17"/>
              </w:rPr>
              <w:t>Atomized into nostril via Mucosal Atomizer Device (MAD); absorbed into olfactory vessels. E.g., Naloxone.</w:t>
            </w:r>
          </w:p>
        </w:tc>
      </w:tr>
      <w:tr>
        <w:tc>
          <w:tcPr>
            <w:tcW w:type="dxa" w:w="1728"/>
          </w:tcPr>
          <w:p>
            <w:pPr>
              <w:spacing w:before="40" w:after="40"/>
            </w:pPr>
            <w:r>
              <w:rPr>
                <w:rFonts w:ascii="Arial" w:hAnsi="Arial"/>
                <w:b/>
                <w:sz w:val="17"/>
              </w:rPr>
              <w:t>Inhalation</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Rapid (2–5 min)</w:t>
            </w:r>
          </w:p>
        </w:tc>
        <w:tc>
          <w:tcPr>
            <w:tcW w:type="dxa" w:w="4752"/>
          </w:tcPr>
          <w:p>
            <w:pPr>
              <w:spacing w:before="40" w:after="40"/>
            </w:pPr>
            <w:r>
              <w:rPr>
                <w:rFonts w:ascii="Arial" w:hAnsi="Arial"/>
                <w:sz w:val="17"/>
              </w:rPr>
              <w:t>Aerosolized droplets delivered straight to alveoli for local bronchodilation. E.g., Albuterol MDI/SVN, Oxygen.</w:t>
            </w:r>
          </w:p>
        </w:tc>
      </w:tr>
      <w:tr>
        <w:tc>
          <w:tcPr>
            <w:tcW w:type="dxa" w:w="1728"/>
          </w:tcPr>
          <w:p>
            <w:pPr>
              <w:spacing w:before="40" w:after="40"/>
            </w:pPr>
            <w:r>
              <w:rPr>
                <w:rFonts w:ascii="Arial" w:hAnsi="Arial"/>
                <w:b/>
                <w:sz w:val="17"/>
              </w:rPr>
              <w:t>Intramuscular (IM)</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Moderate (10–20 min)</w:t>
            </w:r>
          </w:p>
        </w:tc>
        <w:tc>
          <w:tcPr>
            <w:tcW w:type="dxa" w:w="4752"/>
          </w:tcPr>
          <w:p>
            <w:pPr>
              <w:spacing w:before="40" w:after="40"/>
            </w:pPr>
            <w:r>
              <w:rPr>
                <w:rFonts w:ascii="Arial" w:hAnsi="Arial"/>
                <w:sz w:val="17"/>
              </w:rPr>
              <w:t>Injected into muscle mass (vastus lateralis); stable, predictable blood flow. E.g., Epinephrine Auto-Injector.</w:t>
            </w:r>
          </w:p>
        </w:tc>
      </w:tr>
      <w:tr>
        <w:tc>
          <w:tcPr>
            <w:tcW w:type="dxa" w:w="1728"/>
          </w:tcPr>
          <w:p>
            <w:pPr>
              <w:spacing w:before="40" w:after="40"/>
            </w:pPr>
            <w:r>
              <w:rPr>
                <w:rFonts w:ascii="Arial" w:hAnsi="Arial"/>
                <w:b/>
                <w:sz w:val="17"/>
              </w:rPr>
              <w:t>Subcutaneous (SC)</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Slow (20–30 min)</w:t>
            </w:r>
          </w:p>
        </w:tc>
        <w:tc>
          <w:tcPr>
            <w:tcW w:type="dxa" w:w="4752"/>
          </w:tcPr>
          <w:p>
            <w:pPr>
              <w:spacing w:before="40" w:after="40"/>
            </w:pPr>
            <w:r>
              <w:rPr>
                <w:rFonts w:ascii="Arial" w:hAnsi="Arial"/>
                <w:sz w:val="17"/>
              </w:rPr>
              <w:t>Injected beneath skin into fatty tissue. Slower absorption due to less vascularity. E.g., daily insulin.</w:t>
            </w:r>
          </w:p>
        </w:tc>
      </w:tr>
      <w:tr>
        <w:tc>
          <w:tcPr>
            <w:tcW w:type="dxa" w:w="1728"/>
          </w:tcPr>
          <w:p>
            <w:pPr>
              <w:spacing w:before="40" w:after="40"/>
            </w:pPr>
            <w:r>
              <w:rPr>
                <w:rFonts w:ascii="Arial" w:hAnsi="Arial"/>
                <w:b/>
                <w:sz w:val="17"/>
              </w:rPr>
              <w:t>Per Os / Oral (PO)</w:t>
            </w:r>
          </w:p>
        </w:tc>
        <w:tc>
          <w:tcPr>
            <w:tcW w:type="dxa" w:w="1440"/>
          </w:tcPr>
          <w:p>
            <w:pPr>
              <w:spacing w:before="40" w:after="40"/>
            </w:pPr>
            <w:r>
              <w:rPr>
                <w:rFonts w:ascii="Arial" w:hAnsi="Arial"/>
                <w:sz w:val="17"/>
              </w:rPr>
              <w:t>Enteral</w:t>
            </w:r>
          </w:p>
        </w:tc>
        <w:tc>
          <w:tcPr>
            <w:tcW w:type="dxa" w:w="1872"/>
          </w:tcPr>
          <w:p>
            <w:pPr>
              <w:spacing w:before="40" w:after="40"/>
            </w:pPr>
            <w:r>
              <w:rPr>
                <w:rFonts w:ascii="Arial" w:hAnsi="Arial"/>
                <w:sz w:val="17"/>
              </w:rPr>
              <w:t>Slow (30–60 min)</w:t>
            </w:r>
          </w:p>
        </w:tc>
        <w:tc>
          <w:tcPr>
            <w:tcW w:type="dxa" w:w="4752"/>
          </w:tcPr>
          <w:p>
            <w:pPr>
              <w:spacing w:before="40" w:after="40"/>
            </w:pPr>
            <w:r>
              <w:rPr>
                <w:rFonts w:ascii="Arial" w:hAnsi="Arial"/>
                <w:sz w:val="17"/>
              </w:rPr>
              <w:t>Swallowed through digestive tract. Requires functional GI absorption and awake airway. E.g., Aspirin, Oral Glucose.</w:t>
            </w:r>
          </w:p>
        </w:tc>
      </w:tr>
      <w:tr>
        <w:tc>
          <w:tcPr>
            <w:tcW w:type="dxa" w:w="1728"/>
          </w:tcPr>
          <w:p>
            <w:pPr>
              <w:spacing w:before="40" w:after="40"/>
            </w:pPr>
            <w:r>
              <w:rPr>
                <w:rFonts w:ascii="Arial" w:hAnsi="Arial"/>
                <w:b/>
                <w:sz w:val="17"/>
              </w:rPr>
              <w:t>Per Rectum (PR)</w:t>
            </w:r>
          </w:p>
        </w:tc>
        <w:tc>
          <w:tcPr>
            <w:tcW w:type="dxa" w:w="1440"/>
          </w:tcPr>
          <w:p>
            <w:pPr>
              <w:spacing w:before="40" w:after="40"/>
            </w:pPr>
            <w:r>
              <w:rPr>
                <w:rFonts w:ascii="Arial" w:hAnsi="Arial"/>
                <w:sz w:val="17"/>
              </w:rPr>
              <w:t>Enteral</w:t>
            </w:r>
          </w:p>
        </w:tc>
        <w:tc>
          <w:tcPr>
            <w:tcW w:type="dxa" w:w="1872"/>
          </w:tcPr>
          <w:p>
            <w:pPr>
              <w:spacing w:before="40" w:after="40"/>
            </w:pPr>
            <w:r>
              <w:rPr>
                <w:rFonts w:ascii="Arial" w:hAnsi="Arial"/>
                <w:sz w:val="17"/>
              </w:rPr>
              <w:t>Rapid / Reliable</w:t>
            </w:r>
          </w:p>
        </w:tc>
        <w:tc>
          <w:tcPr>
            <w:tcW w:type="dxa" w:w="4752"/>
          </w:tcPr>
          <w:p>
            <w:pPr>
              <w:spacing w:before="40" w:after="40"/>
            </w:pPr>
            <w:r>
              <w:rPr>
                <w:rFonts w:ascii="Arial" w:hAnsi="Arial"/>
                <w:sz w:val="17"/>
              </w:rPr>
              <w:t>Suppository into rectum. Useful for seizing or vomiting patients unable to swallow. E.g., rectal acetaminophen.</w:t>
            </w:r>
          </w:p>
        </w:tc>
      </w:tr>
      <w:tr>
        <w:tc>
          <w:tcPr>
            <w:tcW w:type="dxa" w:w="1728"/>
          </w:tcPr>
          <w:p>
            <w:pPr>
              <w:spacing w:before="40" w:after="40"/>
            </w:pPr>
            <w:r>
              <w:rPr>
                <w:rFonts w:ascii="Arial" w:hAnsi="Arial"/>
                <w:b/>
                <w:sz w:val="17"/>
              </w:rPr>
              <w:t>Transcutaneous</w:t>
            </w:r>
          </w:p>
        </w:tc>
        <w:tc>
          <w:tcPr>
            <w:tcW w:type="dxa" w:w="1440"/>
          </w:tcPr>
          <w:p>
            <w:pPr>
              <w:spacing w:before="40" w:after="40"/>
            </w:pPr>
            <w:r>
              <w:rPr>
                <w:rFonts w:ascii="Arial" w:hAnsi="Arial"/>
                <w:sz w:val="17"/>
              </w:rPr>
              <w:t>Parenteral</w:t>
            </w:r>
          </w:p>
        </w:tc>
        <w:tc>
          <w:tcPr>
            <w:tcW w:type="dxa" w:w="1872"/>
          </w:tcPr>
          <w:p>
            <w:pPr>
              <w:spacing w:before="40" w:after="40"/>
            </w:pPr>
            <w:r>
              <w:rPr>
                <w:rFonts w:ascii="Arial" w:hAnsi="Arial"/>
                <w:sz w:val="17"/>
              </w:rPr>
              <w:t>Prolonged / Steady</w:t>
            </w:r>
          </w:p>
        </w:tc>
        <w:tc>
          <w:tcPr>
            <w:tcW w:type="dxa" w:w="4752"/>
          </w:tcPr>
          <w:p>
            <w:pPr>
              <w:spacing w:before="40" w:after="40"/>
            </w:pPr>
            <w:r>
              <w:rPr>
                <w:rFonts w:ascii="Arial" w:hAnsi="Arial"/>
                <w:sz w:val="17"/>
              </w:rPr>
              <w:t>Transdermal patch absorbed through intact skin for sustained release. E.g., Fentanyl or Nitro patch.</w:t>
            </w:r>
          </w:p>
        </w:tc>
      </w:tr>
    </w:tbl>
    <w:p>
      <w:pPr>
        <w:spacing w:after="80"/>
      </w:pPr>
    </w:p>
    <w:p>
      <w:pPr>
        <w:spacing w:before="180" w:after="40"/>
      </w:pPr>
      <w:r>
        <w:rPr>
          <w:rFonts w:ascii="Arial" w:hAnsi="Arial"/>
          <w:b/>
          <w:color w:val="A01414"/>
          <w:sz w:val="23"/>
        </w:rPr>
        <w:t>1.5 Medication Forms &amp; Delivery Technology</w:t>
      </w:r>
    </w:p>
    <w:p>
      <w:pPr>
        <w:pStyle w:val="ListBullet"/>
        <w:spacing w:after="40"/>
      </w:pPr>
      <w:r>
        <w:rPr>
          <w:rFonts w:ascii="Arial" w:hAnsi="Arial"/>
          <w:b/>
          <w:sz w:val="19"/>
        </w:rPr>
        <w:t xml:space="preserve">Tablets &amp; Capsules: </w:t>
      </w:r>
      <w:r>
        <w:rPr>
          <w:rFonts w:ascii="Arial" w:hAnsi="Arial"/>
          <w:sz w:val="19"/>
        </w:rPr>
        <w:t>Tablets are compressed powder containing active drugs and binding agents. Capsules are gelatin shells holding powder or liquid. Sublingual tablets must dissolve under tongue; chewable aspirin must be fully chewed to speed oral mucosa absorption.</w:t>
      </w:r>
    </w:p>
    <w:p>
      <w:pPr>
        <w:pStyle w:val="ListBullet"/>
        <w:spacing w:after="40"/>
      </w:pPr>
      <w:r>
        <w:rPr>
          <w:rFonts w:ascii="Arial" w:hAnsi="Arial"/>
          <w:b/>
          <w:sz w:val="19"/>
        </w:rPr>
        <w:t xml:space="preserve">Solutions vs. Suspensions: </w:t>
      </w:r>
      <w:r>
        <w:rPr>
          <w:rFonts w:ascii="Arial" w:hAnsi="Arial"/>
          <w:sz w:val="19"/>
        </w:rPr>
        <w:t>A solution is a uniform liquid mixture that will never separate upon standing (can be injected IV/IM). A suspension contains insoluble particles distributed through liquid that will settle out over time—must be shaken vigorously before administration (e.g., Activated Charcoal).</w:t>
      </w:r>
    </w:p>
    <w:p>
      <w:pPr>
        <w:pStyle w:val="ListBullet"/>
        <w:spacing w:after="40"/>
      </w:pPr>
      <w:r>
        <w:rPr>
          <w:rFonts w:ascii="Arial" w:hAnsi="Arial"/>
          <w:b/>
          <w:sz w:val="19"/>
        </w:rPr>
        <w:t xml:space="preserve">Metered-Dose Inhalers (MDIs) &amp; Spacers: </w:t>
      </w:r>
      <w:r>
        <w:rPr>
          <w:rFonts w:ascii="Arial" w:hAnsi="Arial"/>
          <w:sz w:val="19"/>
        </w:rPr>
        <w:t>MDIs deliver a calibrated, measured aerosol dose per actuation. Using a spacer chamber is critical: it holds the suspended cloud, allowing the patient to inhale deeply without requiring split-second hand-breath coordination, reducing pharyngeal impaction by 70%.</w:t>
      </w:r>
    </w:p>
    <w:p>
      <w:pPr>
        <w:pStyle w:val="ListBullet"/>
        <w:spacing w:after="40"/>
      </w:pPr>
      <w:r>
        <w:rPr>
          <w:rFonts w:ascii="Arial" w:hAnsi="Arial"/>
          <w:b/>
          <w:sz w:val="19"/>
        </w:rPr>
        <w:t xml:space="preserve">Small-Volume Nebulizers (SVNs): </w:t>
      </w:r>
      <w:r>
        <w:rPr>
          <w:rFonts w:ascii="Arial" w:hAnsi="Arial"/>
          <w:sz w:val="19"/>
        </w:rPr>
        <w:t>Compressor or oxygen-driven devices (hooked to 6–8 L/min O2) that atomize liquid medication into a fine continuous mist over 5 to 10 minutes. More effective than MDIs during acute severe respiratory distress, and can be integrated into CPAP or BVM circuits.</w:t>
      </w:r>
    </w:p>
    <w:p>
      <w:pPr>
        <w:pStyle w:val="ListBullet"/>
        <w:spacing w:after="40"/>
      </w:pPr>
      <w:r>
        <w:rPr>
          <w:rFonts w:ascii="Arial" w:hAnsi="Arial"/>
          <w:b/>
          <w:sz w:val="19"/>
        </w:rPr>
        <w:t xml:space="preserve">Gels &amp; Topical Gasses: </w:t>
      </w:r>
      <w:r>
        <w:rPr>
          <w:rFonts w:ascii="Arial" w:hAnsi="Arial"/>
          <w:sz w:val="19"/>
        </w:rPr>
        <w:t>Gels are semiliquids that adhere to mucous membranes (Oral Glucose buccal application). Gasses (Oxygen) are delivered through nonrebreathers, cannulas, or positive-pressure devices.</w:t>
      </w:r>
    </w:p>
    <w:p>
      <w:pPr>
        <w:spacing w:before="180" w:after="40"/>
      </w:pPr>
      <w:r>
        <w:rPr>
          <w:rFonts w:ascii="Arial" w:hAnsi="Arial"/>
          <w:b/>
          <w:color w:val="A01414"/>
          <w:sz w:val="23"/>
        </w:rPr>
        <w:t>1.6 General Steps in Administration: The 6 Rights &amp; Medical Control</w:t>
      </w:r>
    </w:p>
    <w:p>
      <w:pPr>
        <w:spacing w:after="60" w:line="276" w:lineRule="auto"/>
      </w:pPr>
      <w:r>
        <w:rPr>
          <w:rFonts w:ascii="Arial" w:hAnsi="Arial"/>
          <w:sz w:val="19"/>
        </w:rPr>
        <w:t>Medication errors almost invariably stem from bypassing procedural checkpoints. The EMT must rigorously execute the 6 Rights prior to touching any pharmaceutical:</w:t>
      </w:r>
    </w:p>
    <w:p>
      <w:pPr>
        <w:pStyle w:val="ListBullet"/>
        <w:spacing w:after="40"/>
      </w:pPr>
      <w:r>
        <w:rPr>
          <w:rFonts w:ascii="Arial" w:hAnsi="Arial"/>
          <w:b/>
          <w:sz w:val="19"/>
        </w:rPr>
        <w:t xml:space="preserve">1. Right Patient: </w:t>
      </w:r>
      <w:r>
        <w:rPr>
          <w:rFonts w:ascii="Arial" w:hAnsi="Arial"/>
          <w:sz w:val="19"/>
        </w:rPr>
        <w:t>Confirm patient identity. If assisting with a prescription, verify the patient's name on the prescription bottle.</w:t>
      </w:r>
    </w:p>
    <w:p>
      <w:pPr>
        <w:pStyle w:val="ListBullet"/>
        <w:spacing w:after="40"/>
      </w:pPr>
      <w:r>
        <w:rPr>
          <w:rFonts w:ascii="Arial" w:hAnsi="Arial"/>
          <w:b/>
          <w:sz w:val="19"/>
        </w:rPr>
        <w:t xml:space="preserve">2. Right Medication: </w:t>
      </w:r>
      <w:r>
        <w:rPr>
          <w:rFonts w:ascii="Arial" w:hAnsi="Arial"/>
          <w:sz w:val="19"/>
        </w:rPr>
        <w:t>Read the container label 3 times: upon picking it up, before preparing the dose, and prior to administration. Verify clarity, cloudiness, sediment, and expiration date.</w:t>
      </w:r>
    </w:p>
    <w:p>
      <w:pPr>
        <w:pStyle w:val="ListBullet"/>
        <w:spacing w:after="40"/>
      </w:pPr>
      <w:r>
        <w:rPr>
          <w:rFonts w:ascii="Arial" w:hAnsi="Arial"/>
          <w:b/>
          <w:sz w:val="19"/>
        </w:rPr>
        <w:t xml:space="preserve">3. Right Dose: </w:t>
      </w:r>
      <w:r>
        <w:rPr>
          <w:rFonts w:ascii="Arial" w:hAnsi="Arial"/>
          <w:sz w:val="19"/>
        </w:rPr>
        <w:t>Calculate and verify exact dosage (milligrams, puffs, or volume). Ensure maximum daily dose limits have not been exceeded prior to EMS arrival.</w:t>
      </w:r>
    </w:p>
    <w:p>
      <w:pPr>
        <w:pStyle w:val="ListBullet"/>
        <w:spacing w:after="40"/>
      </w:pPr>
      <w:r>
        <w:rPr>
          <w:rFonts w:ascii="Arial" w:hAnsi="Arial"/>
          <w:b/>
          <w:sz w:val="19"/>
        </w:rPr>
        <w:t xml:space="preserve">4. Right Route: </w:t>
      </w:r>
      <w:r>
        <w:rPr>
          <w:rFonts w:ascii="Arial" w:hAnsi="Arial"/>
          <w:sz w:val="19"/>
        </w:rPr>
        <w:t>Confirm proper anatomical pathway (e.g., sublingual vs. oral; vastus lateralis IM vs. deltoid; intranasal vs. inhalation).</w:t>
      </w:r>
    </w:p>
    <w:p>
      <w:pPr>
        <w:pStyle w:val="ListBullet"/>
        <w:spacing w:after="40"/>
      </w:pPr>
      <w:r>
        <w:rPr>
          <w:rFonts w:ascii="Arial" w:hAnsi="Arial"/>
          <w:b/>
          <w:sz w:val="19"/>
        </w:rPr>
        <w:t xml:space="preserve">5. Right Time: </w:t>
      </w:r>
      <w:r>
        <w:rPr>
          <w:rFonts w:ascii="Arial" w:hAnsi="Arial"/>
          <w:sz w:val="19"/>
        </w:rPr>
        <w:t>Verify clinical timing and dosing intervals (e.g., Nitroglycerin every 5 minutes up to 3 doses; repeat vitals before each dose).</w:t>
      </w:r>
    </w:p>
    <w:p>
      <w:pPr>
        <w:pStyle w:val="ListBullet"/>
        <w:spacing w:after="40"/>
      </w:pPr>
      <w:r>
        <w:rPr>
          <w:rFonts w:ascii="Arial" w:hAnsi="Arial"/>
          <w:b/>
          <w:sz w:val="19"/>
        </w:rPr>
        <w:t xml:space="preserve">6. Right Documentation: </w:t>
      </w:r>
      <w:r>
        <w:rPr>
          <w:rFonts w:ascii="Arial" w:hAnsi="Arial"/>
          <w:sz w:val="19"/>
        </w:rPr>
        <w:t>Document exact medication name, dose, route, precise timestamp, physiological response, and baseline vs. post-administration vitals.</w:t>
      </w:r>
    </w:p>
    <w:p>
      <w:pPr>
        <w:pStyle w:val="ListBullet"/>
        <w:spacing w:after="40"/>
      </w:pPr>
      <w:r>
        <w:rPr>
          <w:rFonts w:ascii="Arial" w:hAnsi="Arial"/>
          <w:b/>
          <w:sz w:val="19"/>
        </w:rPr>
        <w:t xml:space="preserve">Medical Direction Protocol: </w:t>
      </w:r>
      <w:r>
        <w:rPr>
          <w:rFonts w:ascii="Arial" w:hAnsi="Arial"/>
          <w:sz w:val="19"/>
        </w:rPr>
        <w:t>EMTs operate under delegated physician authority. Online Medical Control requires direct voice communication via radio or phone; the EMT must perform a mandatory closed-loop verbatim repeat-back of the physician's order. Offline Medical Control relies on written standing orders and protocols.</w:t>
      </w:r>
    </w:p>
    <w:p>
      <w:pPr>
        <w:spacing w:before="180" w:after="40"/>
      </w:pPr>
      <w:r>
        <w:rPr>
          <w:rFonts w:ascii="Arial" w:hAnsi="Arial"/>
          <w:b/>
          <w:color w:val="A01414"/>
          <w:sz w:val="23"/>
        </w:rPr>
        <w:t>1.7 Master Prehospital Medication Reference Table</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584"/>
            <w:shd w:fill="0F2240"/>
          </w:tcPr>
          <w:p>
            <w:r>
              <w:rPr>
                <w:rFonts w:ascii="Arial" w:hAnsi="Arial"/>
                <w:b/>
                <w:color w:val="FFFFFF"/>
                <w:sz w:val="17"/>
              </w:rPr>
              <w:t>Medication</w:t>
            </w:r>
          </w:p>
        </w:tc>
        <w:tc>
          <w:tcPr>
            <w:tcW w:type="dxa" w:w="2016"/>
            <w:shd w:fill="0F2240"/>
          </w:tcPr>
          <w:p>
            <w:r>
              <w:rPr>
                <w:rFonts w:ascii="Arial" w:hAnsi="Arial"/>
                <w:b/>
                <w:color w:val="FFFFFF"/>
                <w:sz w:val="17"/>
              </w:rPr>
              <w:t>Class / Action</w:t>
            </w:r>
          </w:p>
        </w:tc>
        <w:tc>
          <w:tcPr>
            <w:tcW w:type="dxa" w:w="2016"/>
            <w:shd w:fill="0F2240"/>
          </w:tcPr>
          <w:p>
            <w:r>
              <w:rPr>
                <w:rFonts w:ascii="Arial" w:hAnsi="Arial"/>
                <w:b/>
                <w:color w:val="FFFFFF"/>
                <w:sz w:val="17"/>
              </w:rPr>
              <w:t>Indications</w:t>
            </w:r>
          </w:p>
        </w:tc>
        <w:tc>
          <w:tcPr>
            <w:tcW w:type="dxa" w:w="2160"/>
            <w:shd w:fill="0F2240"/>
          </w:tcPr>
          <w:p>
            <w:r>
              <w:rPr>
                <w:rFonts w:ascii="Arial" w:hAnsi="Arial"/>
                <w:b/>
                <w:color w:val="FFFFFF"/>
                <w:sz w:val="17"/>
              </w:rPr>
              <w:t>Contraindications</w:t>
            </w:r>
          </w:p>
        </w:tc>
        <w:tc>
          <w:tcPr>
            <w:tcW w:type="dxa" w:w="2016"/>
            <w:shd w:fill="0F2240"/>
          </w:tcPr>
          <w:p>
            <w:r>
              <w:rPr>
                <w:rFonts w:ascii="Arial" w:hAnsi="Arial"/>
                <w:b/>
                <w:color w:val="FFFFFF"/>
                <w:sz w:val="17"/>
              </w:rPr>
              <w:t>Dosage &amp; Route</w:t>
            </w:r>
          </w:p>
        </w:tc>
      </w:tr>
      <w:tr>
        <w:tc>
          <w:tcPr>
            <w:tcW w:type="dxa" w:w="1584"/>
          </w:tcPr>
          <w:p>
            <w:pPr>
              <w:spacing w:before="40" w:after="40"/>
            </w:pPr>
            <w:r>
              <w:rPr>
                <w:rFonts w:ascii="Arial" w:hAnsi="Arial"/>
                <w:b/>
                <w:sz w:val="16"/>
              </w:rPr>
              <w:t>Aspirin (ASA)</w:t>
            </w:r>
          </w:p>
        </w:tc>
        <w:tc>
          <w:tcPr>
            <w:tcW w:type="dxa" w:w="2016"/>
          </w:tcPr>
          <w:p>
            <w:pPr>
              <w:spacing w:before="40" w:after="40"/>
            </w:pPr>
            <w:r>
              <w:rPr>
                <w:rFonts w:ascii="Arial" w:hAnsi="Arial"/>
                <w:sz w:val="16"/>
              </w:rPr>
              <w:t>Antiplatelet aggregate. Inhibits thromboxane A2 to prevent clot growth.</w:t>
            </w:r>
          </w:p>
        </w:tc>
        <w:tc>
          <w:tcPr>
            <w:tcW w:type="dxa" w:w="2016"/>
          </w:tcPr>
          <w:p>
            <w:pPr>
              <w:spacing w:before="40" w:after="40"/>
            </w:pPr>
            <w:r>
              <w:rPr>
                <w:rFonts w:ascii="Arial" w:hAnsi="Arial"/>
                <w:sz w:val="16"/>
              </w:rPr>
              <w:t>Suspected Acute Coronary Syndrome (ACS), ischemic chest pain.</w:t>
            </w:r>
          </w:p>
        </w:tc>
        <w:tc>
          <w:tcPr>
            <w:tcW w:type="dxa" w:w="2160"/>
          </w:tcPr>
          <w:p>
            <w:pPr>
              <w:spacing w:before="40" w:after="40"/>
            </w:pPr>
            <w:r>
              <w:rPr>
                <w:rFonts w:ascii="Arial" w:hAnsi="Arial"/>
                <w:sz w:val="16"/>
              </w:rPr>
              <w:t>Active GI bleeding, ulcer disease, known aspirin allergy, pediatric patients (Reye syndrome).</w:t>
            </w:r>
          </w:p>
        </w:tc>
        <w:tc>
          <w:tcPr>
            <w:tcW w:type="dxa" w:w="2016"/>
          </w:tcPr>
          <w:p>
            <w:pPr>
              <w:spacing w:before="40" w:after="40"/>
            </w:pPr>
            <w:r>
              <w:rPr>
                <w:rFonts w:ascii="Arial" w:hAnsi="Arial"/>
                <w:sz w:val="16"/>
              </w:rPr>
              <w:t>324 mg PO (4 chewable 81 mg baby aspirins). Patient must chew completely.</w:t>
            </w:r>
          </w:p>
        </w:tc>
      </w:tr>
      <w:tr>
        <w:tc>
          <w:tcPr>
            <w:tcW w:type="dxa" w:w="1584"/>
          </w:tcPr>
          <w:p>
            <w:pPr>
              <w:spacing w:before="40" w:after="40"/>
            </w:pPr>
            <w:r>
              <w:rPr>
                <w:rFonts w:ascii="Arial" w:hAnsi="Arial"/>
                <w:b/>
                <w:sz w:val="16"/>
              </w:rPr>
              <w:t>Nitroglycerin (NTG)</w:t>
            </w:r>
          </w:p>
        </w:tc>
        <w:tc>
          <w:tcPr>
            <w:tcW w:type="dxa" w:w="2016"/>
          </w:tcPr>
          <w:p>
            <w:pPr>
              <w:spacing w:before="40" w:after="40"/>
            </w:pPr>
            <w:r>
              <w:rPr>
                <w:rFonts w:ascii="Arial" w:hAnsi="Arial"/>
                <w:sz w:val="16"/>
              </w:rPr>
              <w:t>Vascular smooth muscle relaxant. Dilates systemic veins, reduces preload &amp; myocardial O2 demand.</w:t>
            </w:r>
          </w:p>
        </w:tc>
        <w:tc>
          <w:tcPr>
            <w:tcW w:type="dxa" w:w="2016"/>
          </w:tcPr>
          <w:p>
            <w:pPr>
              <w:spacing w:before="40" w:after="40"/>
            </w:pPr>
            <w:r>
              <w:rPr>
                <w:rFonts w:ascii="Arial" w:hAnsi="Arial"/>
                <w:sz w:val="16"/>
              </w:rPr>
              <w:t>Cardiac chest pain (angina, MI), hypertensive pulmonary edema.</w:t>
            </w:r>
          </w:p>
        </w:tc>
        <w:tc>
          <w:tcPr>
            <w:tcW w:type="dxa" w:w="2160"/>
          </w:tcPr>
          <w:p>
            <w:pPr>
              <w:spacing w:before="40" w:after="40"/>
            </w:pPr>
            <w:r>
              <w:rPr>
                <w:rFonts w:ascii="Arial" w:hAnsi="Arial"/>
                <w:sz w:val="16"/>
              </w:rPr>
              <w:t>Systolic BP &lt; 100 mmHg; PDE-5 erectile dysfunction drugs within 24–48h; HR &lt; 50; Inferior RV STEMI.</w:t>
            </w:r>
          </w:p>
        </w:tc>
        <w:tc>
          <w:tcPr>
            <w:tcW w:type="dxa" w:w="2016"/>
          </w:tcPr>
          <w:p>
            <w:pPr>
              <w:spacing w:before="40" w:after="40"/>
            </w:pPr>
            <w:r>
              <w:rPr>
                <w:rFonts w:ascii="Arial" w:hAnsi="Arial"/>
                <w:sz w:val="16"/>
              </w:rPr>
              <w:t>0.4 mg SL (tablet or metered spray). Repeat q5m up to 3 doses if BP &gt; 100.</w:t>
            </w:r>
          </w:p>
        </w:tc>
      </w:tr>
      <w:tr>
        <w:tc>
          <w:tcPr>
            <w:tcW w:type="dxa" w:w="1584"/>
          </w:tcPr>
          <w:p>
            <w:pPr>
              <w:spacing w:before="40" w:after="40"/>
            </w:pPr>
            <w:r>
              <w:rPr>
                <w:rFonts w:ascii="Arial" w:hAnsi="Arial"/>
                <w:b/>
                <w:sz w:val="16"/>
              </w:rPr>
              <w:t>Oral Glucose</w:t>
            </w:r>
          </w:p>
        </w:tc>
        <w:tc>
          <w:tcPr>
            <w:tcW w:type="dxa" w:w="2016"/>
          </w:tcPr>
          <w:p>
            <w:pPr>
              <w:spacing w:before="40" w:after="40"/>
            </w:pPr>
            <w:r>
              <w:rPr>
                <w:rFonts w:ascii="Arial" w:hAnsi="Arial"/>
                <w:sz w:val="16"/>
              </w:rPr>
              <w:t>Caloric carbohydrate. Rapidly raises blood sugar via buccal mucosal absorption.</w:t>
            </w:r>
          </w:p>
        </w:tc>
        <w:tc>
          <w:tcPr>
            <w:tcW w:type="dxa" w:w="2016"/>
          </w:tcPr>
          <w:p>
            <w:pPr>
              <w:spacing w:before="40" w:after="40"/>
            </w:pPr>
            <w:r>
              <w:rPr>
                <w:rFonts w:ascii="Arial" w:hAnsi="Arial"/>
                <w:sz w:val="16"/>
              </w:rPr>
              <w:t>Hypoglycemia (BGL &lt; 60 mg/dL) with altered mental status.</w:t>
            </w:r>
          </w:p>
        </w:tc>
        <w:tc>
          <w:tcPr>
            <w:tcW w:type="dxa" w:w="2160"/>
          </w:tcPr>
          <w:p>
            <w:pPr>
              <w:spacing w:before="40" w:after="40"/>
            </w:pPr>
            <w:r>
              <w:rPr>
                <w:rFonts w:ascii="Arial" w:hAnsi="Arial"/>
                <w:sz w:val="16"/>
              </w:rPr>
              <w:t>Unconscious, somnolent, unable to swallow, absent gag reflex (severe aspiration risk).</w:t>
            </w:r>
          </w:p>
        </w:tc>
        <w:tc>
          <w:tcPr>
            <w:tcW w:type="dxa" w:w="2016"/>
          </w:tcPr>
          <w:p>
            <w:pPr>
              <w:spacing w:before="40" w:after="40"/>
            </w:pPr>
            <w:r>
              <w:rPr>
                <w:rFonts w:ascii="Arial" w:hAnsi="Arial"/>
                <w:sz w:val="16"/>
              </w:rPr>
              <w:t>15–25 g (one full tube) administered buccally between cheek and lower gum.</w:t>
            </w:r>
          </w:p>
        </w:tc>
      </w:tr>
      <w:tr>
        <w:tc>
          <w:tcPr>
            <w:tcW w:type="dxa" w:w="1584"/>
          </w:tcPr>
          <w:p>
            <w:pPr>
              <w:spacing w:before="40" w:after="40"/>
            </w:pPr>
            <w:r>
              <w:rPr>
                <w:rFonts w:ascii="Arial" w:hAnsi="Arial"/>
                <w:b/>
                <w:sz w:val="16"/>
              </w:rPr>
              <w:t>Epinephrine</w:t>
            </w:r>
          </w:p>
        </w:tc>
        <w:tc>
          <w:tcPr>
            <w:tcW w:type="dxa" w:w="2016"/>
          </w:tcPr>
          <w:p>
            <w:pPr>
              <w:spacing w:before="40" w:after="40"/>
            </w:pPr>
            <w:r>
              <w:rPr>
                <w:rFonts w:ascii="Arial" w:hAnsi="Arial"/>
                <w:sz w:val="16"/>
              </w:rPr>
              <w:t>Sympathomimetic. Alpha-1 vasoconstriction, Beta-1 cardiac stimulation, Beta-2 bronchodilation.</w:t>
            </w:r>
          </w:p>
        </w:tc>
        <w:tc>
          <w:tcPr>
            <w:tcW w:type="dxa" w:w="2016"/>
          </w:tcPr>
          <w:p>
            <w:pPr>
              <w:spacing w:before="40" w:after="40"/>
            </w:pPr>
            <w:r>
              <w:rPr>
                <w:rFonts w:ascii="Arial" w:hAnsi="Arial"/>
                <w:sz w:val="16"/>
              </w:rPr>
              <w:t>Severe systemic anaphylaxis with respiratory compromise and/or distributive shock.</w:t>
            </w:r>
          </w:p>
        </w:tc>
        <w:tc>
          <w:tcPr>
            <w:tcW w:type="dxa" w:w="2160"/>
          </w:tcPr>
          <w:p>
            <w:pPr>
              <w:spacing w:before="40" w:after="40"/>
            </w:pPr>
            <w:r>
              <w:rPr>
                <w:rFonts w:ascii="Arial" w:hAnsi="Arial"/>
                <w:sz w:val="16"/>
              </w:rPr>
              <w:t>No absolute contraindications in true life-threatening anaphylaxis. Relative: CAD, hypertension.</w:t>
            </w:r>
          </w:p>
        </w:tc>
        <w:tc>
          <w:tcPr>
            <w:tcW w:type="dxa" w:w="2016"/>
          </w:tcPr>
          <w:p>
            <w:pPr>
              <w:spacing w:before="40" w:after="40"/>
            </w:pPr>
            <w:r>
              <w:rPr>
                <w:rFonts w:ascii="Arial" w:hAnsi="Arial"/>
                <w:sz w:val="16"/>
              </w:rPr>
              <w:t>0.3 mg IM adult (1:1,000) / 0.15 mg IM pediatric into anterolateral thigh (vastus lateralis).</w:t>
            </w:r>
          </w:p>
        </w:tc>
      </w:tr>
      <w:tr>
        <w:tc>
          <w:tcPr>
            <w:tcW w:type="dxa" w:w="1584"/>
          </w:tcPr>
          <w:p>
            <w:pPr>
              <w:spacing w:before="40" w:after="40"/>
            </w:pPr>
            <w:r>
              <w:rPr>
                <w:rFonts w:ascii="Arial" w:hAnsi="Arial"/>
                <w:b/>
                <w:sz w:val="16"/>
              </w:rPr>
              <w:t>Naloxone (Narcan)</w:t>
            </w:r>
          </w:p>
        </w:tc>
        <w:tc>
          <w:tcPr>
            <w:tcW w:type="dxa" w:w="2016"/>
          </w:tcPr>
          <w:p>
            <w:pPr>
              <w:spacing w:before="40" w:after="40"/>
            </w:pPr>
            <w:r>
              <w:rPr>
                <w:rFonts w:ascii="Arial" w:hAnsi="Arial"/>
                <w:sz w:val="16"/>
              </w:rPr>
              <w:t>Opioid antagonist. Displaces opioids from mu-receptors, reversing CNS depression.</w:t>
            </w:r>
          </w:p>
        </w:tc>
        <w:tc>
          <w:tcPr>
            <w:tcW w:type="dxa" w:w="2016"/>
          </w:tcPr>
          <w:p>
            <w:pPr>
              <w:spacing w:before="40" w:after="40"/>
            </w:pPr>
            <w:r>
              <w:rPr>
                <w:rFonts w:ascii="Arial" w:hAnsi="Arial"/>
                <w:sz w:val="16"/>
              </w:rPr>
              <w:t>Suspected opioid overdose with respiratory depression (RR &lt; 10) and pinpoint pupils.</w:t>
            </w:r>
          </w:p>
        </w:tc>
        <w:tc>
          <w:tcPr>
            <w:tcW w:type="dxa" w:w="2160"/>
          </w:tcPr>
          <w:p>
            <w:pPr>
              <w:spacing w:before="40" w:after="40"/>
            </w:pPr>
            <w:r>
              <w:rPr>
                <w:rFonts w:ascii="Arial" w:hAnsi="Arial"/>
                <w:sz w:val="16"/>
              </w:rPr>
              <w:t>Adequate spontaneous respirations (RR &gt; 12). Patient hypersensitivity.</w:t>
            </w:r>
          </w:p>
        </w:tc>
        <w:tc>
          <w:tcPr>
            <w:tcW w:type="dxa" w:w="2016"/>
          </w:tcPr>
          <w:p>
            <w:pPr>
              <w:spacing w:before="40" w:after="40"/>
            </w:pPr>
            <w:r>
              <w:rPr>
                <w:rFonts w:ascii="Arial" w:hAnsi="Arial"/>
                <w:sz w:val="16"/>
              </w:rPr>
              <w:t>2.0–4.0 mg IN via mucosal atomizer device (1 mg per naris) or auto-injector. Titrate to breathing.</w:t>
            </w:r>
          </w:p>
        </w:tc>
      </w:tr>
      <w:tr>
        <w:tc>
          <w:tcPr>
            <w:tcW w:type="dxa" w:w="1584"/>
          </w:tcPr>
          <w:p>
            <w:pPr>
              <w:spacing w:before="40" w:after="40"/>
            </w:pPr>
            <w:r>
              <w:rPr>
                <w:rFonts w:ascii="Arial" w:hAnsi="Arial"/>
                <w:b/>
                <w:sz w:val="16"/>
              </w:rPr>
              <w:t>Albuterol</w:t>
            </w:r>
          </w:p>
        </w:tc>
        <w:tc>
          <w:tcPr>
            <w:tcW w:type="dxa" w:w="2016"/>
          </w:tcPr>
          <w:p>
            <w:pPr>
              <w:spacing w:before="40" w:after="40"/>
            </w:pPr>
            <w:r>
              <w:rPr>
                <w:rFonts w:ascii="Arial" w:hAnsi="Arial"/>
                <w:sz w:val="16"/>
              </w:rPr>
              <w:t>Selective Beta-2 agonist. Relaxes bronchial smooth muscle to reverse bronchospasm.</w:t>
            </w:r>
          </w:p>
        </w:tc>
        <w:tc>
          <w:tcPr>
            <w:tcW w:type="dxa" w:w="2016"/>
          </w:tcPr>
          <w:p>
            <w:pPr>
              <w:spacing w:before="40" w:after="40"/>
            </w:pPr>
            <w:r>
              <w:rPr>
                <w:rFonts w:ascii="Arial" w:hAnsi="Arial"/>
                <w:sz w:val="16"/>
              </w:rPr>
              <w:t>Dyspnea from asthma, COPD, or reactive airway bronchospasm with wheezing.</w:t>
            </w:r>
          </w:p>
        </w:tc>
        <w:tc>
          <w:tcPr>
            <w:tcW w:type="dxa" w:w="2160"/>
          </w:tcPr>
          <w:p>
            <w:pPr>
              <w:spacing w:before="40" w:after="40"/>
            </w:pPr>
            <w:r>
              <w:rPr>
                <w:rFonts w:ascii="Arial" w:hAnsi="Arial"/>
                <w:sz w:val="16"/>
              </w:rPr>
              <w:t>Cardiac chest pain; severe uncontrolled tachycardia; known hypersensitivity.</w:t>
            </w:r>
          </w:p>
        </w:tc>
        <w:tc>
          <w:tcPr>
            <w:tcW w:type="dxa" w:w="2016"/>
          </w:tcPr>
          <w:p>
            <w:pPr>
              <w:spacing w:before="40" w:after="40"/>
            </w:pPr>
            <w:r>
              <w:rPr>
                <w:rFonts w:ascii="Arial" w:hAnsi="Arial"/>
                <w:sz w:val="16"/>
              </w:rPr>
              <w:t>2.5 mg in 3 mL saline via SVN nebulizer at 6–8 L/min O2, or 2 puffs MDI with spacer.</w:t>
            </w:r>
          </w:p>
        </w:tc>
      </w:tr>
      <w:tr>
        <w:tc>
          <w:tcPr>
            <w:tcW w:type="dxa" w:w="1584"/>
          </w:tcPr>
          <w:p>
            <w:pPr>
              <w:spacing w:before="40" w:after="40"/>
            </w:pPr>
            <w:r>
              <w:rPr>
                <w:rFonts w:ascii="Arial" w:hAnsi="Arial"/>
                <w:b/>
                <w:sz w:val="16"/>
              </w:rPr>
              <w:t>Activated Charcoal</w:t>
            </w:r>
          </w:p>
        </w:tc>
        <w:tc>
          <w:tcPr>
            <w:tcW w:type="dxa" w:w="2016"/>
          </w:tcPr>
          <w:p>
            <w:pPr>
              <w:spacing w:before="40" w:after="40"/>
            </w:pPr>
            <w:r>
              <w:rPr>
                <w:rFonts w:ascii="Arial" w:hAnsi="Arial"/>
                <w:sz w:val="16"/>
              </w:rPr>
              <w:t>Adsorbent. Binds ingested toxins in digestive tract to prevent systemic absorption.</w:t>
            </w:r>
          </w:p>
        </w:tc>
        <w:tc>
          <w:tcPr>
            <w:tcW w:type="dxa" w:w="2016"/>
          </w:tcPr>
          <w:p>
            <w:pPr>
              <w:spacing w:before="40" w:after="40"/>
            </w:pPr>
            <w:r>
              <w:rPr>
                <w:rFonts w:ascii="Arial" w:hAnsi="Arial"/>
                <w:sz w:val="16"/>
              </w:rPr>
              <w:t>Acute oral ingestion of poison/toxins within 1 hour of ingestion.</w:t>
            </w:r>
          </w:p>
        </w:tc>
        <w:tc>
          <w:tcPr>
            <w:tcW w:type="dxa" w:w="2160"/>
          </w:tcPr>
          <w:p>
            <w:pPr>
              <w:spacing w:before="40" w:after="40"/>
            </w:pPr>
            <w:r>
              <w:rPr>
                <w:rFonts w:ascii="Arial" w:hAnsi="Arial"/>
                <w:sz w:val="16"/>
              </w:rPr>
              <w:t>Decreased LOC; ingestion of caustics (acids/alkalis) or petroleum hydrocarbons; vomiting.</w:t>
            </w:r>
          </w:p>
        </w:tc>
        <w:tc>
          <w:tcPr>
            <w:tcW w:type="dxa" w:w="2016"/>
          </w:tcPr>
          <w:p>
            <w:pPr>
              <w:spacing w:before="40" w:after="40"/>
            </w:pPr>
            <w:r>
              <w:rPr>
                <w:rFonts w:ascii="Arial" w:hAnsi="Arial"/>
                <w:sz w:val="16"/>
              </w:rPr>
              <w:t>1 g/kg body weight PO (Standard adult dose: 25–50 g suspended in water).</w:t>
            </w:r>
          </w:p>
        </w:tc>
      </w:tr>
      <w:tr>
        <w:tc>
          <w:tcPr>
            <w:tcW w:type="dxa" w:w="1584"/>
          </w:tcPr>
          <w:p>
            <w:pPr>
              <w:spacing w:before="40" w:after="40"/>
            </w:pPr>
            <w:r>
              <w:rPr>
                <w:rFonts w:ascii="Arial" w:hAnsi="Arial"/>
                <w:b/>
                <w:sz w:val="16"/>
              </w:rPr>
              <w:t>DuoDote / Mark I</w:t>
            </w:r>
          </w:p>
        </w:tc>
        <w:tc>
          <w:tcPr>
            <w:tcW w:type="dxa" w:w="2016"/>
          </w:tcPr>
          <w:p>
            <w:pPr>
              <w:spacing w:before="40" w:after="40"/>
            </w:pPr>
            <w:r>
              <w:rPr>
                <w:rFonts w:ascii="Arial" w:hAnsi="Arial"/>
                <w:sz w:val="16"/>
              </w:rPr>
              <w:t>Nerve agent antidote. Atropine (antimuscarinic) + Pralidoxime/2-PAM (cholinesterase reactivator).</w:t>
            </w:r>
          </w:p>
        </w:tc>
        <w:tc>
          <w:tcPr>
            <w:tcW w:type="dxa" w:w="2016"/>
          </w:tcPr>
          <w:p>
            <w:pPr>
              <w:spacing w:before="40" w:after="40"/>
            </w:pPr>
            <w:r>
              <w:rPr>
                <w:rFonts w:ascii="Arial" w:hAnsi="Arial"/>
                <w:sz w:val="16"/>
              </w:rPr>
              <w:t>Organophosphate poisoning, Sarin/nerve agent exposure exhibiting SLUDGEM toxidrome.</w:t>
            </w:r>
          </w:p>
        </w:tc>
        <w:tc>
          <w:tcPr>
            <w:tcW w:type="dxa" w:w="2160"/>
          </w:tcPr>
          <w:p>
            <w:pPr>
              <w:spacing w:before="40" w:after="40"/>
            </w:pPr>
            <w:r>
              <w:rPr>
                <w:rFonts w:ascii="Arial" w:hAnsi="Arial"/>
                <w:sz w:val="16"/>
              </w:rPr>
              <w:t>None in life-threatening organophosphate crisis. Confirm exposure.</w:t>
            </w:r>
          </w:p>
        </w:tc>
        <w:tc>
          <w:tcPr>
            <w:tcW w:type="dxa" w:w="2016"/>
          </w:tcPr>
          <w:p>
            <w:pPr>
              <w:spacing w:before="40" w:after="40"/>
            </w:pPr>
            <w:r>
              <w:rPr>
                <w:rFonts w:ascii="Arial" w:hAnsi="Arial"/>
                <w:sz w:val="16"/>
              </w:rPr>
              <w:t>1 auto-injector IM (Atropine 2.1 mg / 2-PAM 600 mg). Repeat q5-15m for severe toxicity.</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792"/>
            <w:shd w:fill="FFF5F5"/>
          </w:tcPr>
          <w:p>
            <w:pPr>
              <w:spacing w:after="40" w:before="40"/>
            </w:pPr>
            <w:r>
              <w:rPr>
                <w:rFonts w:ascii="Arial" w:hAnsi="Arial"/>
                <w:b/>
                <w:color w:val="A01414"/>
                <w:sz w:val="20"/>
              </w:rPr>
              <w:t>⚠️ CRITICAL MEDICATION SAFETY &amp; ERROR PROTOCOL</w:t>
              <w:br/>
            </w:r>
            <w:r>
              <w:rPr>
                <w:rFonts w:ascii="Arial" w:hAnsi="Arial"/>
                <w:sz w:val="18"/>
              </w:rPr>
              <w:t>If a medication administration error occurs: 1. Immediately assess the patient and manage vital threats (ABCs); 2. Notify Medical Control immediately and state exact circumstances; 3. Follow departmental error mitigation protocols; 4. Document the incident thoroughly, accurately, and factually on the PCR without emotional bias; 5. Verbally report the error to hospital staff upon transfer of care.</w:t>
            </w:r>
          </w:p>
        </w:tc>
      </w:tr>
    </w:tbl>
    <w:p>
      <w:pPr>
        <w:spacing w:after="60"/>
      </w:pPr>
    </w:p>
    <w:p>
      <w:pPr>
        <w:spacing w:before="280" w:after="60"/>
      </w:pPr>
      <w:r>
        <w:rPr>
          <w:rFonts w:ascii="Arial" w:hAnsi="Arial"/>
          <w:b/>
          <w:color w:val="0F2240"/>
          <w:sz w:val="28"/>
        </w:rPr>
        <w:t>MODULE 2: CHAPTER 19 — GASTROINTESTINAL &amp; UROLOGIC EMERGENCIES</w:t>
      </w:r>
    </w:p>
    <w:p>
      <w:pPr>
        <w:spacing w:after="80" w:before="0"/>
      </w:pPr>
      <w:r>
        <w:t>―――――――――――――――――――――――――――――――――――――――――――――――――――――――</w:t>
      </w:r>
    </w:p>
    <w:p>
      <w:pPr>
        <w:spacing w:before="180" w:after="40"/>
      </w:pPr>
      <w:r>
        <w:rPr>
          <w:rFonts w:ascii="Arial" w:hAnsi="Arial"/>
          <w:b/>
          <w:color w:val="A01414"/>
          <w:sz w:val="23"/>
        </w:rPr>
        <w:t>2.1 Abdominal Cavity Organization &amp; Solid vs. Hollow Organs</w:t>
      </w:r>
    </w:p>
    <w:p>
      <w:pPr>
        <w:spacing w:after="60" w:line="276" w:lineRule="auto"/>
      </w:pPr>
      <w:r>
        <w:rPr>
          <w:rFonts w:ascii="Arial" w:hAnsi="Arial"/>
          <w:sz w:val="19"/>
        </w:rPr>
        <w:t>The abdominal cavity houses the gastrointestinal, genital, and urinary systems. The fundamental pathophysiologic divide in abdominal trauma and disease is the distinction between solid and hollow organs: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46428"/>
          </w:tcPr>
          <w:p>
            <w:r>
              <w:rPr>
                <w:rFonts w:ascii="Arial" w:hAnsi="Arial"/>
                <w:b/>
                <w:color w:val="FFFFFF"/>
                <w:sz w:val="17"/>
              </w:rPr>
              <w:t>Classification</w:t>
            </w:r>
          </w:p>
        </w:tc>
        <w:tc>
          <w:tcPr>
            <w:tcW w:type="dxa" w:w="2592"/>
            <w:shd w:fill="146428"/>
          </w:tcPr>
          <w:p>
            <w:r>
              <w:rPr>
                <w:rFonts w:ascii="Arial" w:hAnsi="Arial"/>
                <w:b/>
                <w:color w:val="FFFFFF"/>
                <w:sz w:val="17"/>
              </w:rPr>
              <w:t>Anatomical Organs</w:t>
            </w:r>
          </w:p>
        </w:tc>
        <w:tc>
          <w:tcPr>
            <w:tcW w:type="dxa" w:w="2592"/>
            <w:shd w:fill="146428"/>
          </w:tcPr>
          <w:p>
            <w:r>
              <w:rPr>
                <w:rFonts w:ascii="Arial" w:hAnsi="Arial"/>
                <w:b/>
                <w:color w:val="FFFFFF"/>
                <w:sz w:val="17"/>
              </w:rPr>
              <w:t>Primary Physiological Function</w:t>
            </w:r>
          </w:p>
        </w:tc>
        <w:tc>
          <w:tcPr>
            <w:tcW w:type="dxa" w:w="2880"/>
            <w:shd w:fill="146428"/>
          </w:tcPr>
          <w:p>
            <w:r>
              <w:rPr>
                <w:rFonts w:ascii="Arial" w:hAnsi="Arial"/>
                <w:b/>
                <w:color w:val="FFFFFF"/>
                <w:sz w:val="17"/>
              </w:rPr>
              <w:t>Pathophysiological Consequence of Injury / Failure</w:t>
            </w:r>
          </w:p>
        </w:tc>
      </w:tr>
      <w:tr>
        <w:tc>
          <w:tcPr>
            <w:tcW w:type="dxa" w:w="1728"/>
          </w:tcPr>
          <w:p>
            <w:pPr>
              <w:spacing w:before="40" w:after="40"/>
            </w:pPr>
            <w:r>
              <w:rPr>
                <w:rFonts w:ascii="Arial" w:hAnsi="Arial"/>
                <w:b/>
                <w:sz w:val="17"/>
              </w:rPr>
              <w:t>Solid Organs</w:t>
            </w:r>
          </w:p>
        </w:tc>
        <w:tc>
          <w:tcPr>
            <w:tcW w:type="dxa" w:w="2592"/>
          </w:tcPr>
          <w:p>
            <w:pPr>
              <w:spacing w:before="40" w:after="40"/>
            </w:pPr>
            <w:r>
              <w:rPr>
                <w:rFonts w:ascii="Arial" w:hAnsi="Arial"/>
                <w:sz w:val="17"/>
              </w:rPr>
              <w:t>Liver, Spleen, Pancreas, Kidneys, Ovaries.</w:t>
            </w:r>
          </w:p>
        </w:tc>
        <w:tc>
          <w:tcPr>
            <w:tcW w:type="dxa" w:w="2592"/>
          </w:tcPr>
          <w:p>
            <w:pPr>
              <w:spacing w:before="40" w:after="40"/>
            </w:pPr>
            <w:r>
              <w:rPr>
                <w:rFonts w:ascii="Arial" w:hAnsi="Arial"/>
                <w:sz w:val="17"/>
              </w:rPr>
              <w:t>Metabolism, blood filtration, enzymatic and hormonal secretion.</w:t>
            </w:r>
          </w:p>
        </w:tc>
        <w:tc>
          <w:tcPr>
            <w:tcW w:type="dxa" w:w="2880"/>
          </w:tcPr>
          <w:p>
            <w:pPr>
              <w:spacing w:before="40" w:after="40"/>
            </w:pPr>
            <w:r>
              <w:rPr>
                <w:rFonts w:ascii="Arial" w:hAnsi="Arial"/>
                <w:sz w:val="17"/>
              </w:rPr>
              <w:t>High vascularity. Rupture or trauma causes catastrophic internal hemorrhage, leading rapidly to hypovolemic hemorrhagic shock.</w:t>
            </w:r>
          </w:p>
        </w:tc>
      </w:tr>
      <w:tr>
        <w:tc>
          <w:tcPr>
            <w:tcW w:type="dxa" w:w="1728"/>
          </w:tcPr>
          <w:p>
            <w:pPr>
              <w:spacing w:before="40" w:after="40"/>
            </w:pPr>
            <w:r>
              <w:rPr>
                <w:rFonts w:ascii="Arial" w:hAnsi="Arial"/>
                <w:b/>
                <w:sz w:val="17"/>
              </w:rPr>
              <w:t>Hollow Organs</w:t>
            </w:r>
          </w:p>
        </w:tc>
        <w:tc>
          <w:tcPr>
            <w:tcW w:type="dxa" w:w="2592"/>
          </w:tcPr>
          <w:p>
            <w:pPr>
              <w:spacing w:before="40" w:after="40"/>
            </w:pPr>
            <w:r>
              <w:rPr>
                <w:rFonts w:ascii="Arial" w:hAnsi="Arial"/>
                <w:sz w:val="17"/>
              </w:rPr>
              <w:t>Stomach, Gallbladder, Duodenum, Small Intestine, Large Intestine / Colon, Urinary Bladder.</w:t>
            </w:r>
          </w:p>
        </w:tc>
        <w:tc>
          <w:tcPr>
            <w:tcW w:type="dxa" w:w="2592"/>
          </w:tcPr>
          <w:p>
            <w:pPr>
              <w:spacing w:before="40" w:after="40"/>
            </w:pPr>
            <w:r>
              <w:rPr>
                <w:rFonts w:ascii="Arial" w:hAnsi="Arial"/>
                <w:sz w:val="17"/>
              </w:rPr>
              <w:t>Conduits for digestion, food breakdown, bile storage, and waste/urine collection.</w:t>
            </w:r>
          </w:p>
        </w:tc>
        <w:tc>
          <w:tcPr>
            <w:tcW w:type="dxa" w:w="2880"/>
          </w:tcPr>
          <w:p>
            <w:pPr>
              <w:spacing w:before="40" w:after="40"/>
            </w:pPr>
            <w:r>
              <w:rPr>
                <w:rFonts w:ascii="Arial" w:hAnsi="Arial"/>
                <w:sz w:val="17"/>
              </w:rPr>
              <w:t>Contain gastric acids, bile, feces, or urine. Perforation or rupture causes spillage into sterile cavity, triggering chemical peritonitis, bacterial infection, and septic shock.</w:t>
            </w:r>
          </w:p>
        </w:tc>
      </w:tr>
      <w:tr>
        <w:tc>
          <w:tcPr>
            <w:tcW w:type="dxa" w:w="1728"/>
          </w:tcPr>
          <w:p>
            <w:pPr>
              <w:spacing w:before="40" w:after="40"/>
            </w:pPr>
            <w:r>
              <w:rPr>
                <w:rFonts w:ascii="Arial" w:hAnsi="Arial"/>
                <w:b/>
                <w:sz w:val="17"/>
              </w:rPr>
              <w:t>Retroperitoneal Organs</w:t>
            </w:r>
          </w:p>
        </w:tc>
        <w:tc>
          <w:tcPr>
            <w:tcW w:type="dxa" w:w="2592"/>
          </w:tcPr>
          <w:p>
            <w:pPr>
              <w:spacing w:before="40" w:after="40"/>
            </w:pPr>
            <w:r>
              <w:rPr>
                <w:rFonts w:ascii="Arial" w:hAnsi="Arial"/>
                <w:sz w:val="17"/>
              </w:rPr>
              <w:t>Pancreas, Kidneys, Adrenals, Aorta, Inferior Vena Cava, Ureters.</w:t>
            </w:r>
          </w:p>
        </w:tc>
        <w:tc>
          <w:tcPr>
            <w:tcW w:type="dxa" w:w="2592"/>
          </w:tcPr>
          <w:p>
            <w:pPr>
              <w:spacing w:before="40" w:after="40"/>
            </w:pPr>
            <w:r>
              <w:rPr>
                <w:rFonts w:ascii="Arial" w:hAnsi="Arial"/>
                <w:sz w:val="17"/>
              </w:rPr>
              <w:t>Lie posterior to the peritoneal membrane lining.</w:t>
            </w:r>
          </w:p>
        </w:tc>
        <w:tc>
          <w:tcPr>
            <w:tcW w:type="dxa" w:w="2880"/>
          </w:tcPr>
          <w:p>
            <w:pPr>
              <w:spacing w:before="40" w:after="40"/>
            </w:pPr>
            <w:r>
              <w:rPr>
                <w:rFonts w:ascii="Arial" w:hAnsi="Arial"/>
                <w:sz w:val="17"/>
              </w:rPr>
              <w:t>Bleeding or infection remains concealed in retroperitoneal space; pain typically radiates straight to back or flank without early anterior guarding.</w:t>
            </w:r>
          </w:p>
        </w:tc>
      </w:tr>
    </w:tbl>
    <w:p>
      <w:pPr>
        <w:spacing w:after="80"/>
      </w:pPr>
    </w:p>
    <w:p>
      <w:pPr>
        <w:spacing w:before="180" w:after="40"/>
      </w:pPr>
      <w:r>
        <w:rPr>
          <w:rFonts w:ascii="Arial" w:hAnsi="Arial"/>
          <w:b/>
          <w:color w:val="A01414"/>
          <w:sz w:val="23"/>
        </w:rPr>
        <w:t>2.2 Anatomy of the Digestive &amp; Urologic Tracts</w:t>
      </w:r>
    </w:p>
    <w:p>
      <w:pPr>
        <w:pStyle w:val="ListBullet"/>
        <w:spacing w:after="40"/>
      </w:pPr>
      <w:r>
        <w:rPr>
          <w:rFonts w:ascii="Arial" w:hAnsi="Arial"/>
          <w:b/>
          <w:sz w:val="19"/>
        </w:rPr>
        <w:t xml:space="preserve">Stomach: </w:t>
      </w:r>
      <w:r>
        <w:rPr>
          <w:rFonts w:ascii="Arial" w:hAnsi="Arial"/>
          <w:sz w:val="19"/>
        </w:rPr>
        <w:t>Primary digestive organ. Hydrochloric acid and pepsin break down food boluses into liquid chyme.</w:t>
      </w:r>
    </w:p>
    <w:p>
      <w:pPr>
        <w:pStyle w:val="ListBullet"/>
        <w:spacing w:after="40"/>
      </w:pPr>
      <w:r>
        <w:rPr>
          <w:rFonts w:ascii="Arial" w:hAnsi="Arial"/>
          <w:b/>
          <w:sz w:val="19"/>
        </w:rPr>
        <w:t xml:space="preserve">Liver: </w:t>
      </w:r>
      <w:r>
        <w:rPr>
          <w:rFonts w:ascii="Arial" w:hAnsi="Arial"/>
          <w:sz w:val="19"/>
        </w:rPr>
        <w:t>Largest solid internal organ. Synthesizes bile for fat emulsification, filters toxins from venous portal blood, and stores glycogen for glucose regulation.</w:t>
      </w:r>
    </w:p>
    <w:p>
      <w:pPr>
        <w:pStyle w:val="ListBullet"/>
        <w:spacing w:after="40"/>
      </w:pPr>
      <w:r>
        <w:rPr>
          <w:rFonts w:ascii="Arial" w:hAnsi="Arial"/>
          <w:b/>
          <w:sz w:val="19"/>
        </w:rPr>
        <w:t xml:space="preserve">Gallbladder: </w:t>
      </w:r>
      <w:r>
        <w:rPr>
          <w:rFonts w:ascii="Arial" w:hAnsi="Arial"/>
          <w:sz w:val="19"/>
        </w:rPr>
        <w:t>Hollow reservoir nested under liver; stores and concentrates bile. Contracts post-meal to discharge bile into duodenum via common bile duct.</w:t>
      </w:r>
    </w:p>
    <w:p>
      <w:pPr>
        <w:pStyle w:val="ListBullet"/>
        <w:spacing w:after="40"/>
      </w:pPr>
      <w:r>
        <w:rPr>
          <w:rFonts w:ascii="Arial" w:hAnsi="Arial"/>
          <w:b/>
          <w:sz w:val="19"/>
        </w:rPr>
        <w:t xml:space="preserve">Small Intestine: </w:t>
      </w:r>
      <w:r>
        <w:rPr>
          <w:rFonts w:ascii="Arial" w:hAnsi="Arial"/>
          <w:sz w:val="19"/>
        </w:rPr>
        <w:t>Three divisions: 1. Duodenum (mixes chyme with pancreatic enzymes [amylase, lipase, bicarbonate] and bile); 2. Jejunum (performs the majority of nutrient absorption); 3. Ileum (absorbs remaining bile acids and Vitamin B12).</w:t>
      </w:r>
    </w:p>
    <w:p>
      <w:pPr>
        <w:pStyle w:val="ListBullet"/>
        <w:spacing w:after="40"/>
      </w:pPr>
      <w:r>
        <w:rPr>
          <w:rFonts w:ascii="Arial" w:hAnsi="Arial"/>
          <w:b/>
          <w:sz w:val="19"/>
        </w:rPr>
        <w:t xml:space="preserve">Colon (Large Intestine): </w:t>
      </w:r>
      <w:r>
        <w:rPr>
          <w:rFonts w:ascii="Arial" w:hAnsi="Arial"/>
          <w:sz w:val="19"/>
        </w:rPr>
        <w:t>Absorbs water and electrolytes from unabsorbed chyme; forms and stores solid feces.</w:t>
      </w:r>
    </w:p>
    <w:p>
      <w:pPr>
        <w:pStyle w:val="ListBullet"/>
        <w:spacing w:after="40"/>
      </w:pPr>
      <w:r>
        <w:rPr>
          <w:rFonts w:ascii="Arial" w:hAnsi="Arial"/>
          <w:b/>
          <w:sz w:val="19"/>
        </w:rPr>
        <w:t xml:space="preserve">Spleen: </w:t>
      </w:r>
      <w:r>
        <w:rPr>
          <w:rFonts w:ascii="Arial" w:hAnsi="Arial"/>
          <w:sz w:val="19"/>
        </w:rPr>
        <w:t>Solid lymphatic organ in LUQ. Filters aged red blood cells, stores blood platelets, and assists immune response. Highly friable; easily lacerated in blunt trauma.</w:t>
      </w:r>
    </w:p>
    <w:p>
      <w:pPr>
        <w:pStyle w:val="ListBullet"/>
        <w:spacing w:after="40"/>
      </w:pPr>
      <w:r>
        <w:rPr>
          <w:rFonts w:ascii="Arial" w:hAnsi="Arial"/>
          <w:b/>
          <w:sz w:val="19"/>
        </w:rPr>
        <w:t xml:space="preserve">Kidneys &amp; Urinary Tract: </w:t>
      </w:r>
      <w:r>
        <w:rPr>
          <w:rFonts w:ascii="Arial" w:hAnsi="Arial"/>
          <w:sz w:val="19"/>
        </w:rPr>
        <w:t>Retroperitoneal solid organs filtering blood waste to maintain water/electrolyte/acid-base homeostasis. Normal daily urine output is 1.5 to 2.0 L. Ureters carry urine to urinary bladder; urethra empties outside body. Kidney failure leads to toxic uremia.</w:t>
      </w:r>
    </w:p>
    <w:p>
      <w:pPr>
        <w:spacing w:before="180" w:after="40"/>
      </w:pPr>
      <w:r>
        <w:rPr>
          <w:rFonts w:ascii="Arial" w:hAnsi="Arial"/>
          <w:b/>
          <w:color w:val="A01414"/>
          <w:sz w:val="23"/>
        </w:rPr>
        <w:t>2.3 Pathophysiology of the Acute Abdomen</w:t>
      </w:r>
    </w:p>
    <w:p>
      <w:pPr>
        <w:spacing w:after="60" w:line="276" w:lineRule="auto"/>
      </w:pPr>
      <w:r>
        <w:rPr>
          <w:rFonts w:ascii="Arial" w:hAnsi="Arial"/>
          <w:sz w:val="19"/>
        </w:rPr>
        <w:t>The term 'Acute Abdomen' refers to the sudden onset of severe abdominal pain requiring emergent surgical or medical evaluation.</w:t>
      </w:r>
    </w:p>
    <w:p>
      <w:pPr>
        <w:pStyle w:val="ListBullet"/>
        <w:spacing w:after="40"/>
      </w:pPr>
      <w:r>
        <w:rPr>
          <w:rFonts w:ascii="Arial" w:hAnsi="Arial"/>
          <w:b/>
          <w:sz w:val="19"/>
        </w:rPr>
        <w:t xml:space="preserve">Peritoneum &amp; Neuroanatomy: </w:t>
      </w:r>
      <w:r>
        <w:rPr>
          <w:rFonts w:ascii="Arial" w:hAnsi="Arial"/>
          <w:sz w:val="19"/>
        </w:rPr>
        <w:t>The abdominal cavity is enveloped by two distinct peritoneal layers supplied by different nervous systems:</w:t>
      </w:r>
    </w:p>
    <w:p>
      <w:pPr>
        <w:pStyle w:val="ListBullet"/>
        <w:spacing w:after="40"/>
      </w:pPr>
      <w:r>
        <w:rPr>
          <w:rFonts w:ascii="Arial" w:hAnsi="Arial"/>
          <w:b/>
          <w:sz w:val="19"/>
        </w:rPr>
        <w:t xml:space="preserve"> • Parietal Peritoneum: </w:t>
      </w:r>
      <w:r>
        <w:rPr>
          <w:rFonts w:ascii="Arial" w:hAnsi="Arial"/>
          <w:sz w:val="19"/>
        </w:rPr>
        <w:t>Lines the internal abdominal wall. Innervated by somatic sensory nerves (same nerves supplying abdominal skin). Senses pain, touch, pressure, and temperature. Produces SHARP, INTENSE, CONSTANT, EASILY LOCALIZED pain.</w:t>
      </w:r>
    </w:p>
    <w:p>
      <w:pPr>
        <w:pStyle w:val="ListBullet"/>
        <w:spacing w:after="40"/>
      </w:pPr>
      <w:r>
        <w:rPr>
          <w:rFonts w:ascii="Arial" w:hAnsi="Arial"/>
          <w:b/>
          <w:sz w:val="19"/>
        </w:rPr>
        <w:t xml:space="preserve"> • Visceral Peritoneum: </w:t>
      </w:r>
      <w:r>
        <w:rPr>
          <w:rFonts w:ascii="Arial" w:hAnsi="Arial"/>
          <w:sz w:val="19"/>
        </w:rPr>
        <w:t>Covers the organs themselves. Innervated by the autonomic nervous system. Produces DULL, CRAMPING, ACHING, POORLY LOCALIZED pain accompanied by autonomic diaphoresis and nausea.</w:t>
      </w:r>
    </w:p>
    <w:p>
      <w:pPr>
        <w:pStyle w:val="ListBullet"/>
        <w:spacing w:after="40"/>
      </w:pPr>
      <w:r>
        <w:rPr>
          <w:rFonts w:ascii="Arial" w:hAnsi="Arial"/>
          <w:b/>
          <w:sz w:val="19"/>
        </w:rPr>
        <w:t xml:space="preserve">Peritonitis: </w:t>
      </w:r>
      <w:r>
        <w:rPr>
          <w:rFonts w:ascii="Arial" w:hAnsi="Arial"/>
          <w:sz w:val="19"/>
        </w:rPr>
        <w:t>Inflammation of the peritoneal lining caused by blood, gastric acid, bile, or bacteria. Inflammation causes chemical irritation, leading to paralysis of intestinal smooth muscle contractions known as ILEUS.</w:t>
      </w:r>
    </w:p>
    <w:p>
      <w:pPr>
        <w:pStyle w:val="ListBullet"/>
        <w:spacing w:after="40"/>
      </w:pPr>
      <w:r>
        <w:rPr>
          <w:rFonts w:ascii="Arial" w:hAnsi="Arial"/>
          <w:b/>
          <w:sz w:val="19"/>
        </w:rPr>
        <w:t xml:space="preserve">Ileus &amp; Distension: </w:t>
      </w:r>
      <w:r>
        <w:rPr>
          <w:rFonts w:ascii="Arial" w:hAnsi="Arial"/>
          <w:sz w:val="19"/>
        </w:rPr>
        <w:t>When peristalsis halts, gas, fluid, and feces accumulate, causing abdominal distension and vomiting. The stomach cannot empty downward, forcing regurgitation.</w:t>
      </w:r>
    </w:p>
    <w:p>
      <w:pPr>
        <w:pStyle w:val="ListBullet"/>
        <w:spacing w:after="40"/>
      </w:pPr>
      <w:r>
        <w:rPr>
          <w:rFonts w:ascii="Arial" w:hAnsi="Arial"/>
          <w:b/>
          <w:sz w:val="19"/>
        </w:rPr>
        <w:t xml:space="preserve">Involuntary Guarding vs. Rigidity: </w:t>
      </w:r>
      <w:r>
        <w:rPr>
          <w:rFonts w:ascii="Arial" w:hAnsi="Arial"/>
          <w:sz w:val="19"/>
        </w:rPr>
        <w:t>Involuntary guarding is a protective abdominal wall muscular spasm. In severe peritonitis, this progresses to a board-like, rock-hard abdomen (rigidity) that cannot be voluntarily relaxed by the patient.</w:t>
      </w:r>
    </w:p>
    <w:p>
      <w:pPr>
        <w:pStyle w:val="ListBullet"/>
        <w:spacing w:after="40"/>
      </w:pPr>
      <w:r>
        <w:rPr>
          <w:rFonts w:ascii="Arial" w:hAnsi="Arial"/>
          <w:b/>
          <w:sz w:val="19"/>
        </w:rPr>
        <w:t xml:space="preserve">Rebound Tenderness (Blumberg's Sign): </w:t>
      </w:r>
      <w:r>
        <w:rPr>
          <w:rFonts w:ascii="Arial" w:hAnsi="Arial"/>
          <w:sz w:val="19"/>
        </w:rPr>
        <w:t>Pain that is significantly worse upon the sudden withdrawal/release of examining fingers than upon deep palpation. Diagnostic hallmark of peritoneal irritation.</w:t>
      </w:r>
    </w:p>
    <w:p>
      <w:pPr>
        <w:spacing w:before="180" w:after="40"/>
      </w:pPr>
      <w:r>
        <w:rPr>
          <w:rFonts w:ascii="Arial" w:hAnsi="Arial"/>
          <w:b/>
          <w:color w:val="A01414"/>
          <w:sz w:val="23"/>
        </w:rPr>
        <w:t>2.4 Causes of the Acute Abdomen &amp; Specific Pathology Profiles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146428"/>
          </w:tcPr>
          <w:p>
            <w:r>
              <w:rPr>
                <w:rFonts w:ascii="Arial" w:hAnsi="Arial"/>
                <w:b/>
                <w:color w:val="FFFFFF"/>
                <w:sz w:val="17"/>
              </w:rPr>
              <w:t>Pathology</w:t>
            </w:r>
          </w:p>
        </w:tc>
        <w:tc>
          <w:tcPr>
            <w:tcW w:type="dxa" w:w="1872"/>
            <w:shd w:fill="146428"/>
          </w:tcPr>
          <w:p>
            <w:r>
              <w:rPr>
                <w:rFonts w:ascii="Arial" w:hAnsi="Arial"/>
                <w:b/>
                <w:color w:val="FFFFFF"/>
                <w:sz w:val="17"/>
              </w:rPr>
              <w:t>Quadrant / Location</w:t>
            </w:r>
          </w:p>
        </w:tc>
        <w:tc>
          <w:tcPr>
            <w:tcW w:type="dxa" w:w="3168"/>
            <w:shd w:fill="146428"/>
          </w:tcPr>
          <w:p>
            <w:r>
              <w:rPr>
                <w:rFonts w:ascii="Arial" w:hAnsi="Arial"/>
                <w:b/>
                <w:color w:val="FFFFFF"/>
                <w:sz w:val="17"/>
              </w:rPr>
              <w:t>Clinical Hallmarks &amp; Trigger Events</w:t>
            </w:r>
          </w:p>
        </w:tc>
        <w:tc>
          <w:tcPr>
            <w:tcW w:type="dxa" w:w="3024"/>
            <w:shd w:fill="146428"/>
          </w:tcPr>
          <w:p>
            <w:r>
              <w:rPr>
                <w:rFonts w:ascii="Arial" w:hAnsi="Arial"/>
                <w:b/>
                <w:color w:val="FFFFFF"/>
                <w:sz w:val="17"/>
              </w:rPr>
              <w:t>Key Complications &amp; EMT Care</w:t>
            </w:r>
          </w:p>
        </w:tc>
      </w:tr>
      <w:tr>
        <w:tc>
          <w:tcPr>
            <w:tcW w:type="dxa" w:w="1728"/>
          </w:tcPr>
          <w:p>
            <w:pPr>
              <w:spacing w:before="40" w:after="40"/>
            </w:pPr>
            <w:r>
              <w:rPr>
                <w:rFonts w:ascii="Arial" w:hAnsi="Arial"/>
                <w:b/>
                <w:sz w:val="16"/>
              </w:rPr>
              <w:t>Acute Appendicitis</w:t>
            </w:r>
          </w:p>
        </w:tc>
        <w:tc>
          <w:tcPr>
            <w:tcW w:type="dxa" w:w="1872"/>
          </w:tcPr>
          <w:p>
            <w:pPr>
              <w:spacing w:before="40" w:after="40"/>
            </w:pPr>
            <w:r>
              <w:rPr>
                <w:rFonts w:ascii="Arial" w:hAnsi="Arial"/>
                <w:sz w:val="16"/>
              </w:rPr>
              <w:t>Periumbilical migrating to RLQ (McBurney's Point)</w:t>
            </w:r>
          </w:p>
        </w:tc>
        <w:tc>
          <w:tcPr>
            <w:tcW w:type="dxa" w:w="3168"/>
          </w:tcPr>
          <w:p>
            <w:pPr>
              <w:spacing w:before="40" w:after="40"/>
            </w:pPr>
            <w:r>
              <w:rPr>
                <w:rFonts w:ascii="Arial" w:hAnsi="Arial"/>
                <w:sz w:val="16"/>
              </w:rPr>
              <w:t>Dull periumbilical ache that localizes to RLQ over 12–24h. Anorexia, nausea, low-grade fever, positive rebound tenderness.</w:t>
            </w:r>
          </w:p>
        </w:tc>
        <w:tc>
          <w:tcPr>
            <w:tcW w:type="dxa" w:w="3024"/>
          </w:tcPr>
          <w:p>
            <w:pPr>
              <w:spacing w:before="40" w:after="40"/>
            </w:pPr>
            <w:r>
              <w:rPr>
                <w:rFonts w:ascii="Arial" w:hAnsi="Arial"/>
                <w:sz w:val="16"/>
              </w:rPr>
              <w:t>Rupture causes sudden temporary pain relief followed by diffuse peritonitis and septic shock. Keep NPO, knees flexed.</w:t>
            </w:r>
          </w:p>
        </w:tc>
      </w:tr>
      <w:tr>
        <w:tc>
          <w:tcPr>
            <w:tcW w:type="dxa" w:w="1728"/>
          </w:tcPr>
          <w:p>
            <w:pPr>
              <w:spacing w:before="40" w:after="40"/>
            </w:pPr>
            <w:r>
              <w:rPr>
                <w:rFonts w:ascii="Arial" w:hAnsi="Arial"/>
                <w:b/>
                <w:sz w:val="16"/>
              </w:rPr>
              <w:t>Acute Cholecystitis</w:t>
            </w:r>
          </w:p>
        </w:tc>
        <w:tc>
          <w:tcPr>
            <w:tcW w:type="dxa" w:w="1872"/>
          </w:tcPr>
          <w:p>
            <w:pPr>
              <w:spacing w:before="40" w:after="40"/>
            </w:pPr>
            <w:r>
              <w:rPr>
                <w:rFonts w:ascii="Arial" w:hAnsi="Arial"/>
                <w:sz w:val="16"/>
              </w:rPr>
              <w:t>Right Upper Quadrant (RUQ) &amp; Right Shoulder</w:t>
            </w:r>
          </w:p>
        </w:tc>
        <w:tc>
          <w:tcPr>
            <w:tcW w:type="dxa" w:w="3168"/>
          </w:tcPr>
          <w:p>
            <w:pPr>
              <w:spacing w:before="40" w:after="40"/>
            </w:pPr>
            <w:r>
              <w:rPr>
                <w:rFonts w:ascii="Arial" w:hAnsi="Arial"/>
                <w:sz w:val="16"/>
              </w:rPr>
              <w:t>Gallstones obstruct cystic duct. Sharp, cramping pain radiating to right scapula. Provoked 30–60 min after fatty meal (Murphy's sign).</w:t>
            </w:r>
          </w:p>
        </w:tc>
        <w:tc>
          <w:tcPr>
            <w:tcW w:type="dxa" w:w="3024"/>
          </w:tcPr>
          <w:p>
            <w:pPr>
              <w:spacing w:before="40" w:after="40"/>
            </w:pPr>
            <w:r>
              <w:rPr>
                <w:rFonts w:ascii="Arial" w:hAnsi="Arial"/>
                <w:sz w:val="16"/>
              </w:rPr>
              <w:t>Infection, gallbladder perforation. NPO, position of comfort, supportive antiemetic care.</w:t>
            </w:r>
          </w:p>
        </w:tc>
      </w:tr>
      <w:tr>
        <w:tc>
          <w:tcPr>
            <w:tcW w:type="dxa" w:w="1728"/>
          </w:tcPr>
          <w:p>
            <w:pPr>
              <w:spacing w:before="40" w:after="40"/>
            </w:pPr>
            <w:r>
              <w:rPr>
                <w:rFonts w:ascii="Arial" w:hAnsi="Arial"/>
                <w:b/>
                <w:sz w:val="16"/>
              </w:rPr>
              <w:t>Acute Pancreatitis</w:t>
            </w:r>
          </w:p>
        </w:tc>
        <w:tc>
          <w:tcPr>
            <w:tcW w:type="dxa" w:w="1872"/>
          </w:tcPr>
          <w:p>
            <w:pPr>
              <w:spacing w:before="40" w:after="40"/>
            </w:pPr>
            <w:r>
              <w:rPr>
                <w:rFonts w:ascii="Arial" w:hAnsi="Arial"/>
                <w:sz w:val="16"/>
              </w:rPr>
              <w:t>Epigastric radiating straight through to Back</w:t>
            </w:r>
          </w:p>
        </w:tc>
        <w:tc>
          <w:tcPr>
            <w:tcW w:type="dxa" w:w="3168"/>
          </w:tcPr>
          <w:p>
            <w:pPr>
              <w:spacing w:before="40" w:after="40"/>
            </w:pPr>
            <w:r>
              <w:rPr>
                <w:rFonts w:ascii="Arial" w:hAnsi="Arial"/>
                <w:sz w:val="16"/>
              </w:rPr>
              <w:t>Severe, constant, boring pain radiating into lumbar spine. Triggered by gallstones or heavy chronic alcohol ingestion.</w:t>
            </w:r>
          </w:p>
        </w:tc>
        <w:tc>
          <w:tcPr>
            <w:tcW w:type="dxa" w:w="3024"/>
          </w:tcPr>
          <w:p>
            <w:pPr>
              <w:spacing w:before="40" w:after="40"/>
            </w:pPr>
            <w:r>
              <w:rPr>
                <w:rFonts w:ascii="Arial" w:hAnsi="Arial"/>
                <w:sz w:val="16"/>
              </w:rPr>
              <w:t>Enzymatic autodigestion causes third-spacing, severe hypovolemic shock, sepsis, and hemorrhage. Treat for shock.</w:t>
            </w:r>
          </w:p>
        </w:tc>
      </w:tr>
      <w:tr>
        <w:tc>
          <w:tcPr>
            <w:tcW w:type="dxa" w:w="1728"/>
          </w:tcPr>
          <w:p>
            <w:pPr>
              <w:spacing w:before="40" w:after="40"/>
            </w:pPr>
            <w:r>
              <w:rPr>
                <w:rFonts w:ascii="Arial" w:hAnsi="Arial"/>
                <w:b/>
                <w:sz w:val="16"/>
              </w:rPr>
              <w:t>Peptic Ulcer Disease (PUD)</w:t>
            </w:r>
          </w:p>
        </w:tc>
        <w:tc>
          <w:tcPr>
            <w:tcW w:type="dxa" w:w="1872"/>
          </w:tcPr>
          <w:p>
            <w:pPr>
              <w:spacing w:before="40" w:after="40"/>
            </w:pPr>
            <w:r>
              <w:rPr>
                <w:rFonts w:ascii="Arial" w:hAnsi="Arial"/>
                <w:sz w:val="16"/>
              </w:rPr>
              <w:t>Epigastric &amp; Upper Abdomen</w:t>
            </w:r>
          </w:p>
        </w:tc>
        <w:tc>
          <w:tcPr>
            <w:tcW w:type="dxa" w:w="3168"/>
          </w:tcPr>
          <w:p>
            <w:pPr>
              <w:spacing w:before="40" w:after="40"/>
            </w:pPr>
            <w:r>
              <w:rPr>
                <w:rFonts w:ascii="Arial" w:hAnsi="Arial"/>
                <w:sz w:val="16"/>
              </w:rPr>
              <w:t>Gastric acid erodes mucosal lining. Burning pain, often relieved immediately after eating, returning 2h later. Melena, nausea.</w:t>
            </w:r>
          </w:p>
        </w:tc>
        <w:tc>
          <w:tcPr>
            <w:tcW w:type="dxa" w:w="3024"/>
          </w:tcPr>
          <w:p>
            <w:pPr>
              <w:spacing w:before="40" w:after="40"/>
            </w:pPr>
            <w:r>
              <w:rPr>
                <w:rFonts w:ascii="Arial" w:hAnsi="Arial"/>
                <w:sz w:val="16"/>
              </w:rPr>
              <w:t>Ulcer perforation causes peritonitis. Erosion into gastric artery causes massive hemorrhage. NPO, high-flow O2 if shock.</w:t>
            </w:r>
          </w:p>
        </w:tc>
      </w:tr>
      <w:tr>
        <w:tc>
          <w:tcPr>
            <w:tcW w:type="dxa" w:w="1728"/>
          </w:tcPr>
          <w:p>
            <w:pPr>
              <w:spacing w:before="40" w:after="40"/>
            </w:pPr>
            <w:r>
              <w:rPr>
                <w:rFonts w:ascii="Arial" w:hAnsi="Arial"/>
                <w:b/>
                <w:sz w:val="16"/>
              </w:rPr>
              <w:t>Esophageal Varices</w:t>
            </w:r>
          </w:p>
        </w:tc>
        <w:tc>
          <w:tcPr>
            <w:tcW w:type="dxa" w:w="1872"/>
          </w:tcPr>
          <w:p>
            <w:pPr>
              <w:spacing w:before="40" w:after="40"/>
            </w:pPr>
            <w:r>
              <w:rPr>
                <w:rFonts w:ascii="Arial" w:hAnsi="Arial"/>
                <w:sz w:val="16"/>
              </w:rPr>
              <w:t>Upper GI / Midline Esophagus</w:t>
            </w:r>
          </w:p>
        </w:tc>
        <w:tc>
          <w:tcPr>
            <w:tcW w:type="dxa" w:w="3168"/>
          </w:tcPr>
          <w:p>
            <w:pPr>
              <w:spacing w:before="40" w:after="40"/>
            </w:pPr>
            <w:r>
              <w:rPr>
                <w:rFonts w:ascii="Arial" w:hAnsi="Arial"/>
                <w:sz w:val="16"/>
              </w:rPr>
              <w:t>Cirrhosis/alcoholism causes portal vein hypertension, engorging esophageal veins. Sudden painless massive bright red hematemesis.</w:t>
            </w:r>
          </w:p>
        </w:tc>
        <w:tc>
          <w:tcPr>
            <w:tcW w:type="dxa" w:w="3024"/>
          </w:tcPr>
          <w:p>
            <w:pPr>
              <w:spacing w:before="40" w:after="40"/>
            </w:pPr>
            <w:r>
              <w:rPr>
                <w:rFonts w:ascii="Arial" w:hAnsi="Arial"/>
                <w:sz w:val="16"/>
              </w:rPr>
              <w:t>Massive exsanguination into airway and stomach. Mortality &gt; 30%. Aggressive airway suctioning, recovery position, ALS shock care.</w:t>
            </w:r>
          </w:p>
        </w:tc>
      </w:tr>
      <w:tr>
        <w:tc>
          <w:tcPr>
            <w:tcW w:type="dxa" w:w="1728"/>
          </w:tcPr>
          <w:p>
            <w:pPr>
              <w:spacing w:before="40" w:after="40"/>
            </w:pPr>
            <w:r>
              <w:rPr>
                <w:rFonts w:ascii="Arial" w:hAnsi="Arial"/>
                <w:b/>
                <w:sz w:val="16"/>
              </w:rPr>
              <w:t>Mallory-Weiss Syndrome</w:t>
            </w:r>
          </w:p>
        </w:tc>
        <w:tc>
          <w:tcPr>
            <w:tcW w:type="dxa" w:w="1872"/>
          </w:tcPr>
          <w:p>
            <w:pPr>
              <w:spacing w:before="40" w:after="40"/>
            </w:pPr>
            <w:r>
              <w:rPr>
                <w:rFonts w:ascii="Arial" w:hAnsi="Arial"/>
                <w:sz w:val="16"/>
              </w:rPr>
              <w:t>Gastroesophageal Junction</w:t>
            </w:r>
          </w:p>
        </w:tc>
        <w:tc>
          <w:tcPr>
            <w:tcW w:type="dxa" w:w="3168"/>
          </w:tcPr>
          <w:p>
            <w:pPr>
              <w:spacing w:before="40" w:after="40"/>
            </w:pPr>
            <w:r>
              <w:rPr>
                <w:rFonts w:ascii="Arial" w:hAnsi="Arial"/>
                <w:sz w:val="16"/>
              </w:rPr>
              <w:t>Tears in esophageal mucosa caused by severe, violent, repetitive retching or vomiting (often alcohol-related or bulimia).</w:t>
            </w:r>
          </w:p>
        </w:tc>
        <w:tc>
          <w:tcPr>
            <w:tcW w:type="dxa" w:w="3024"/>
          </w:tcPr>
          <w:p>
            <w:pPr>
              <w:spacing w:before="40" w:after="40"/>
            </w:pPr>
            <w:r>
              <w:rPr>
                <w:rFonts w:ascii="Arial" w:hAnsi="Arial"/>
                <w:sz w:val="16"/>
              </w:rPr>
              <w:t>Variable bleeding from mild to massive hematemesis. Airway maintenance, suction ready, fluid resuscitation alert.</w:t>
            </w:r>
          </w:p>
        </w:tc>
      </w:tr>
      <w:tr>
        <w:tc>
          <w:tcPr>
            <w:tcW w:type="dxa" w:w="1728"/>
          </w:tcPr>
          <w:p>
            <w:pPr>
              <w:spacing w:before="40" w:after="40"/>
            </w:pPr>
            <w:r>
              <w:rPr>
                <w:rFonts w:ascii="Arial" w:hAnsi="Arial"/>
                <w:b/>
                <w:sz w:val="16"/>
              </w:rPr>
              <w:t>Diverticulitis</w:t>
            </w:r>
          </w:p>
        </w:tc>
        <w:tc>
          <w:tcPr>
            <w:tcW w:type="dxa" w:w="1872"/>
          </w:tcPr>
          <w:p>
            <w:pPr>
              <w:spacing w:before="40" w:after="40"/>
            </w:pPr>
            <w:r>
              <w:rPr>
                <w:rFonts w:ascii="Arial" w:hAnsi="Arial"/>
                <w:sz w:val="16"/>
              </w:rPr>
              <w:t>Left Lower Quadrant (LLQ)</w:t>
            </w:r>
          </w:p>
        </w:tc>
        <w:tc>
          <w:tcPr>
            <w:tcW w:type="dxa" w:w="3168"/>
          </w:tcPr>
          <w:p>
            <w:pPr>
              <w:spacing w:before="40" w:after="40"/>
            </w:pPr>
            <w:r>
              <w:rPr>
                <w:rFonts w:ascii="Arial" w:hAnsi="Arial"/>
                <w:sz w:val="16"/>
              </w:rPr>
              <w:t>Fecal matter entrapped in weak colonic pouches (diverticula). LLQ aching pain, low-grade fever, chills, altered bowel habits.</w:t>
            </w:r>
          </w:p>
        </w:tc>
        <w:tc>
          <w:tcPr>
            <w:tcW w:type="dxa" w:w="3024"/>
          </w:tcPr>
          <w:p>
            <w:pPr>
              <w:spacing w:before="40" w:after="40"/>
            </w:pPr>
            <w:r>
              <w:rPr>
                <w:rFonts w:ascii="Arial" w:hAnsi="Arial"/>
                <w:sz w:val="16"/>
              </w:rPr>
              <w:t>Localized abscess, bowel perforation, peritonitis. Keep NPO, transport gently.</w:t>
            </w:r>
          </w:p>
        </w:tc>
      </w:tr>
      <w:tr>
        <w:tc>
          <w:tcPr>
            <w:tcW w:type="dxa" w:w="1728"/>
          </w:tcPr>
          <w:p>
            <w:pPr>
              <w:spacing w:before="40" w:after="40"/>
            </w:pPr>
            <w:r>
              <w:rPr>
                <w:rFonts w:ascii="Arial" w:hAnsi="Arial"/>
                <w:b/>
                <w:sz w:val="16"/>
              </w:rPr>
              <w:t>Abdominal Aortic Aneurysm (AAA)</w:t>
            </w:r>
          </w:p>
        </w:tc>
        <w:tc>
          <w:tcPr>
            <w:tcW w:type="dxa" w:w="1872"/>
          </w:tcPr>
          <w:p>
            <w:pPr>
              <w:spacing w:before="40" w:after="40"/>
            </w:pPr>
            <w:r>
              <w:rPr>
                <w:rFonts w:ascii="Arial" w:hAnsi="Arial"/>
                <w:sz w:val="16"/>
              </w:rPr>
              <w:t>Midline Abdomen &amp; Lumbar Back</w:t>
            </w:r>
          </w:p>
        </w:tc>
        <w:tc>
          <w:tcPr>
            <w:tcW w:type="dxa" w:w="3168"/>
          </w:tcPr>
          <w:p>
            <w:pPr>
              <w:spacing w:before="40" w:after="40"/>
            </w:pPr>
            <w:r>
              <w:rPr>
                <w:rFonts w:ascii="Arial" w:hAnsi="Arial"/>
                <w:sz w:val="16"/>
              </w:rPr>
              <w:t>Weakened arterial wall balloons. Excruciating tearing/ripping pain radiating to lower back/flank. Pulsatile mass, unequal pulses.</w:t>
            </w:r>
          </w:p>
        </w:tc>
        <w:tc>
          <w:tcPr>
            <w:tcW w:type="dxa" w:w="3024"/>
          </w:tcPr>
          <w:p>
            <w:pPr>
              <w:spacing w:before="40" w:after="40"/>
            </w:pPr>
            <w:r>
              <w:rPr>
                <w:rFonts w:ascii="Arial" w:hAnsi="Arial"/>
                <w:sz w:val="16"/>
              </w:rPr>
              <w:t>Rupture causes fatal retroperitoneal exsanguination within minutes. DO NOT aggressively palpate mass! Rapid surgical transport.</w:t>
            </w:r>
          </w:p>
        </w:tc>
      </w:tr>
      <w:tr>
        <w:tc>
          <w:tcPr>
            <w:tcW w:type="dxa" w:w="1728"/>
          </w:tcPr>
          <w:p>
            <w:pPr>
              <w:spacing w:before="40" w:after="40"/>
            </w:pPr>
            <w:r>
              <w:rPr>
                <w:rFonts w:ascii="Arial" w:hAnsi="Arial"/>
                <w:b/>
                <w:sz w:val="16"/>
              </w:rPr>
              <w:t>Kidney Stones (Renal Calculi)</w:t>
            </w:r>
          </w:p>
        </w:tc>
        <w:tc>
          <w:tcPr>
            <w:tcW w:type="dxa" w:w="1872"/>
          </w:tcPr>
          <w:p>
            <w:pPr>
              <w:spacing w:before="40" w:after="40"/>
            </w:pPr>
            <w:r>
              <w:rPr>
                <w:rFonts w:ascii="Arial" w:hAnsi="Arial"/>
                <w:sz w:val="16"/>
              </w:rPr>
              <w:t>Flank radiating to Groin / Testicle</w:t>
            </w:r>
          </w:p>
        </w:tc>
        <w:tc>
          <w:tcPr>
            <w:tcW w:type="dxa" w:w="3168"/>
          </w:tcPr>
          <w:p>
            <w:pPr>
              <w:spacing w:before="40" w:after="40"/>
            </w:pPr>
            <w:r>
              <w:rPr>
                <w:rFonts w:ascii="Arial" w:hAnsi="Arial"/>
                <w:sz w:val="16"/>
              </w:rPr>
              <w:t>Mineral salts crystallize in renal pelvis. Excruciating colicky flank spasms radiating to groin, hematuria, writhing agitation.</w:t>
            </w:r>
          </w:p>
        </w:tc>
        <w:tc>
          <w:tcPr>
            <w:tcW w:type="dxa" w:w="3024"/>
          </w:tcPr>
          <w:p>
            <w:pPr>
              <w:spacing w:before="40" w:after="40"/>
            </w:pPr>
            <w:r>
              <w:rPr>
                <w:rFonts w:ascii="Arial" w:hAnsi="Arial"/>
                <w:sz w:val="16"/>
              </w:rPr>
              <w:t>Non-peritoneal (abdomen is soft). Ureteral obstruction, hydronephrosis. Distinguish from AAA in patients &gt; 50.</w:t>
            </w:r>
          </w:p>
        </w:tc>
      </w:tr>
      <w:tr>
        <w:tc>
          <w:tcPr>
            <w:tcW w:type="dxa" w:w="1728"/>
          </w:tcPr>
          <w:p>
            <w:pPr>
              <w:spacing w:before="40" w:after="40"/>
            </w:pPr>
            <w:r>
              <w:rPr>
                <w:rFonts w:ascii="Arial" w:hAnsi="Arial"/>
                <w:b/>
                <w:sz w:val="16"/>
              </w:rPr>
              <w:t>Hernia (Strangulated)</w:t>
            </w:r>
          </w:p>
        </w:tc>
        <w:tc>
          <w:tcPr>
            <w:tcW w:type="dxa" w:w="1872"/>
          </w:tcPr>
          <w:p>
            <w:pPr>
              <w:spacing w:before="40" w:after="40"/>
            </w:pPr>
            <w:r>
              <w:rPr>
                <w:rFonts w:ascii="Arial" w:hAnsi="Arial"/>
                <w:sz w:val="16"/>
              </w:rPr>
              <w:t>Groin (Inguinal), Umbilical, Incisional</w:t>
            </w:r>
          </w:p>
        </w:tc>
        <w:tc>
          <w:tcPr>
            <w:tcW w:type="dxa" w:w="3168"/>
          </w:tcPr>
          <w:p>
            <w:pPr>
              <w:spacing w:before="40" w:after="40"/>
            </w:pPr>
            <w:r>
              <w:rPr>
                <w:rFonts w:ascii="Arial" w:hAnsi="Arial"/>
                <w:sz w:val="16"/>
              </w:rPr>
              <w:t>Organ loops through muscle wall defect. A formerly reducible lump becomes irreducible, intensely tender, red/blue discolored.</w:t>
            </w:r>
          </w:p>
        </w:tc>
        <w:tc>
          <w:tcPr>
            <w:tcW w:type="dxa" w:w="3024"/>
          </w:tcPr>
          <w:p>
            <w:pPr>
              <w:spacing w:before="40" w:after="40"/>
            </w:pPr>
            <w:r>
              <w:rPr>
                <w:rFonts w:ascii="Arial" w:hAnsi="Arial"/>
                <w:sz w:val="16"/>
              </w:rPr>
              <w:t>Bowel strangulation causes localized ischemia, gangrene, and peritonitis. True surgical emergency. NPO, rapid transport.</w:t>
            </w:r>
          </w:p>
        </w:tc>
      </w:tr>
    </w:tbl>
    <w:p>
      <w:pPr>
        <w:spacing w:after="80"/>
      </w:pPr>
    </w:p>
    <w:p>
      <w:pPr>
        <w:spacing w:before="180" w:after="40"/>
      </w:pPr>
      <w:r>
        <w:rPr>
          <w:rFonts w:ascii="Arial" w:hAnsi="Arial"/>
          <w:b/>
          <w:color w:val="A01414"/>
          <w:sz w:val="23"/>
        </w:rPr>
        <w:t>2.5 Gastrointestinal Hemorrhage Classifications</w:t>
      </w:r>
    </w:p>
    <w:p>
      <w:pPr>
        <w:pStyle w:val="ListBullet"/>
        <w:spacing w:after="40"/>
      </w:pPr>
      <w:r>
        <w:rPr>
          <w:rFonts w:ascii="Arial" w:hAnsi="Arial"/>
          <w:b/>
          <w:sz w:val="19"/>
        </w:rPr>
        <w:t xml:space="preserve">Upper GI Bleed: </w:t>
      </w:r>
      <w:r>
        <w:rPr>
          <w:rFonts w:ascii="Arial" w:hAnsi="Arial"/>
          <w:sz w:val="19"/>
        </w:rPr>
        <w:t>Bleeding originating proximal to the Ligament of Treitz (esophagus, stomach, duodenum). Presents with **Hematemesis** (vomiting bright red blood) or **Coffee-ground Emesis** (digested, oxidized blood) and **Melena** (black, tarry, foul-smelling stool).</w:t>
      </w:r>
    </w:p>
    <w:p>
      <w:pPr>
        <w:pStyle w:val="ListBullet"/>
        <w:spacing w:after="40"/>
      </w:pPr>
      <w:r>
        <w:rPr>
          <w:rFonts w:ascii="Arial" w:hAnsi="Arial"/>
          <w:b/>
          <w:sz w:val="19"/>
        </w:rPr>
        <w:t xml:space="preserve">Lower GI Bleed: </w:t>
      </w:r>
      <w:r>
        <w:rPr>
          <w:rFonts w:ascii="Arial" w:hAnsi="Arial"/>
          <w:sz w:val="19"/>
        </w:rPr>
        <w:t>Bleeding originating distal to the duodenum (jejunum, ileum, colon, rectum). Presents with **Hematochezia** (bright red blood passed per rectum) typically from diverticulosis, vascular malformations, or hemorrhoids.</w:t>
      </w:r>
    </w:p>
    <w:p>
      <w:pPr>
        <w:spacing w:before="180" w:after="40"/>
      </w:pPr>
      <w:r>
        <w:rPr>
          <w:rFonts w:ascii="Arial" w:hAnsi="Arial"/>
          <w:b/>
          <w:color w:val="A01414"/>
          <w:sz w:val="23"/>
        </w:rPr>
        <w:t>2.6 Renal Failure &amp; Dialysis Emergencies</w:t>
      </w:r>
    </w:p>
    <w:p>
      <w:pPr>
        <w:pStyle w:val="ListBullet"/>
        <w:spacing w:after="40"/>
      </w:pPr>
      <w:r>
        <w:rPr>
          <w:rFonts w:ascii="Arial" w:hAnsi="Arial"/>
          <w:b/>
          <w:sz w:val="19"/>
        </w:rPr>
        <w:t xml:space="preserve">Acute vs. Chronic Kidney Disease: </w:t>
      </w:r>
      <w:r>
        <w:rPr>
          <w:rFonts w:ascii="Arial" w:hAnsi="Arial"/>
          <w:sz w:val="19"/>
        </w:rPr>
        <w:t>Acute Kidney Injury (AKI) is a sudden drop in filtration caused by dehydration, toxins, or obstruction; it is often reversible with prompt care. Chronic Kidney Disease (CKD) is progressive, permanent destruction of nephrons over years (hypertension/diabetes) culminating in End-Stage Renal Disease (ESRD) requiring dialysis or kidney transplant.</w:t>
      </w:r>
    </w:p>
    <w:p>
      <w:pPr>
        <w:pStyle w:val="ListBullet"/>
        <w:spacing w:after="40"/>
      </w:pPr>
      <w:r>
        <w:rPr>
          <w:rFonts w:ascii="Arial" w:hAnsi="Arial"/>
          <w:b/>
          <w:sz w:val="19"/>
        </w:rPr>
        <w:t xml:space="preserve">Hemodialysis Operations: </w:t>
      </w:r>
      <w:r>
        <w:rPr>
          <w:rFonts w:ascii="Arial" w:hAnsi="Arial"/>
          <w:sz w:val="19"/>
        </w:rPr>
        <w:t>Patient's blood circulates through an external dialyzer machine 3 times weekly for 3–5 hours to clear urea, creatinine, and excess fluid. Vascular access is via an Arteriovenous (AV) Fistula (surgically connected artery and vein) or synthetic AV graft in the forearm.</w:t>
      </w:r>
    </w:p>
    <w:tbl>
      <w:tblPr>
        <w:tblW w:type="auto" w:w="0"/>
        <w:jc w:val="center"/>
        <w:tblLayout w:type="fixed"/>
        <w:tblLook w:firstColumn="1" w:firstRow="1" w:lastColumn="0" w:lastRow="0" w:noHBand="0" w:noVBand="1" w:val="04A0"/>
      </w:tblPr>
      <w:tblGrid>
        <w:gridCol w:w="10080"/>
      </w:tblGrid>
      <w:tr>
        <w:tc>
          <w:tcPr>
            <w:tcW w:type="dxa" w:w="9792"/>
            <w:shd w:fill="FFF5F5"/>
          </w:tcPr>
          <w:p>
            <w:pPr>
              <w:spacing w:after="40" w:before="40"/>
            </w:pPr>
            <w:r>
              <w:rPr>
                <w:rFonts w:ascii="Arial" w:hAnsi="Arial"/>
                <w:b/>
                <w:color w:val="A01414"/>
                <w:sz w:val="20"/>
              </w:rPr>
              <w:t>⚠️ CRITICAL AV FISTULA SAFETY RULE</w:t>
              <w:br/>
            </w:r>
            <w:r>
              <w:rPr>
                <w:rFonts w:ascii="Arial" w:hAnsi="Arial"/>
                <w:sz w:val="18"/>
              </w:rPr>
              <w:t>NEVER obtain a blood pressure, start an intravenous line, or draw blood from an extremity bearing an AV fistula or shunt! Cuff compression or needle damage causes graft thrombosis and destroys the patient's lifesaving dialysis access.</w:t>
            </w:r>
          </w:p>
        </w:tc>
      </w:tr>
    </w:tbl>
    <w:p>
      <w:pPr>
        <w:spacing w:after="60"/>
      </w:pPr>
    </w:p>
    <w:p>
      <w:pPr>
        <w:pStyle w:val="ListBullet"/>
        <w:spacing w:after="40"/>
      </w:pPr>
      <w:r>
        <w:rPr>
          <w:rFonts w:ascii="Arial" w:hAnsi="Arial"/>
          <w:b/>
          <w:sz w:val="19"/>
        </w:rPr>
        <w:t xml:space="preserve">Managing Shunt Hemorrhage: </w:t>
      </w:r>
      <w:r>
        <w:rPr>
          <w:rFonts w:ascii="Arial" w:hAnsi="Arial"/>
          <w:sz w:val="19"/>
        </w:rPr>
        <w:t>Dialysis access shunts carry arterial pressure. If the site bleeds post-dialysis, apply direct, firm, pinpoint gloved pressure directly over the puncture site. If bleeding is uncontrolled and exsanguinating, apply a commercial tourniquet proximal to the shunt.</w:t>
      </w:r>
    </w:p>
    <w:p>
      <w:pPr>
        <w:pStyle w:val="ListBullet"/>
        <w:spacing w:after="40"/>
      </w:pPr>
      <w:r>
        <w:rPr>
          <w:rFonts w:ascii="Arial" w:hAnsi="Arial"/>
          <w:b/>
          <w:sz w:val="19"/>
        </w:rPr>
        <w:t xml:space="preserve">Missed Dialysis Complications: </w:t>
      </w:r>
      <w:r>
        <w:rPr>
          <w:rFonts w:ascii="Arial" w:hAnsi="Arial"/>
          <w:sz w:val="19"/>
        </w:rPr>
        <w:t>When patients miss scheduled dialysis, they develop: 1. **Fluid Overload** $</w:t>
        <w:br/>
        <w:t>ightarrow$ pulmonary edema and severe orthopnea; 2. **Hyperkalemia** (elevated potassium) $</w:t>
        <w:br/>
        <w:t>ightarrow$ lethal cardiac arrhythmias (peaked T-waves, wide QRS, bradycardia, cardiac arrest); 3. **Uremic encephalopathy**.</w:t>
      </w:r>
    </w:p>
    <w:p>
      <w:pPr>
        <w:pStyle w:val="ListBullet"/>
        <w:spacing w:after="40"/>
      </w:pPr>
      <w:r>
        <w:rPr>
          <w:rFonts w:ascii="Arial" w:hAnsi="Arial"/>
          <w:b/>
          <w:sz w:val="19"/>
        </w:rPr>
        <w:t xml:space="preserve">Peritoneal Dialysis Complications: </w:t>
      </w:r>
      <w:r>
        <w:rPr>
          <w:rFonts w:ascii="Arial" w:hAnsi="Arial"/>
          <w:sz w:val="19"/>
        </w:rPr>
        <w:t>Fluid is infused into the peritoneal cavity via an abdominal catheter. The primary emergency is **Peritonitis**, recognized when the draining effluent dialysate bag appears **cloudy, hazy, or yellowish** accompanied by fever and abdominal rigidity.</w:t>
      </w:r>
    </w:p>
    <w:p>
      <w:pPr>
        <w:spacing w:before="180" w:after="40"/>
      </w:pPr>
      <w:r>
        <w:rPr>
          <w:rFonts w:ascii="Arial" w:hAnsi="Arial"/>
          <w:b/>
          <w:color w:val="A01414"/>
          <w:sz w:val="23"/>
        </w:rPr>
        <w:t>2.7 Patient Assessment &amp; Emergency Care: The Acute Abdomen</w:t>
      </w:r>
    </w:p>
    <w:p>
      <w:pPr>
        <w:pStyle w:val="ListBullet"/>
        <w:spacing w:after="40"/>
      </w:pPr>
      <w:r>
        <w:rPr>
          <w:rFonts w:ascii="Arial" w:hAnsi="Arial"/>
          <w:b/>
          <w:sz w:val="19"/>
        </w:rPr>
        <w:t xml:space="preserve">Physical Examination Sequence: </w:t>
      </w:r>
      <w:r>
        <w:rPr>
          <w:rFonts w:ascii="Arial" w:hAnsi="Arial"/>
          <w:sz w:val="19"/>
        </w:rPr>
        <w:t>1. **Inspect** for distension, surgical scars, Cullen's sign (periumbilical bruising), or Grey Turner's sign (flank bruising); 2. **Auscultate** bowel sounds (hypoactive/absent indicates ileus); 3. **Palpate** gently across all 4 quadrants.</w:t>
      </w:r>
    </w:p>
    <w:tbl>
      <w:tblPr>
        <w:tblW w:type="auto" w:w="0"/>
        <w:jc w:val="center"/>
        <w:tblLayout w:type="fixed"/>
        <w:tblLook w:firstColumn="1" w:firstRow="1" w:lastColumn="0" w:lastRow="0" w:noHBand="0" w:noVBand="1" w:val="04A0"/>
      </w:tblPr>
      <w:tblGrid>
        <w:gridCol w:w="10080"/>
      </w:tblGrid>
      <w:tr>
        <w:tc>
          <w:tcPr>
            <w:tcW w:type="dxa" w:w="9792"/>
            <w:shd w:fill="FFF5F5"/>
          </w:tcPr>
          <w:p>
            <w:pPr>
              <w:spacing w:after="40" w:before="40"/>
            </w:pPr>
            <w:r>
              <w:rPr>
                <w:rFonts w:ascii="Arial" w:hAnsi="Arial"/>
                <w:b/>
                <w:color w:val="A01414"/>
                <w:sz w:val="20"/>
              </w:rPr>
              <w:t>⚠️ EXAMINATION MANDATE</w:t>
              <w:br/>
            </w:r>
            <w:r>
              <w:rPr>
                <w:rFonts w:ascii="Arial" w:hAnsi="Arial"/>
                <w:sz w:val="18"/>
              </w:rPr>
              <w:t>ALWAYS palpate the quadrant reporting the most severe pain LAST! Palpating the tender area first triggers intense voluntary guarding, making accurate examination of the remaining quadrants impossible.</w:t>
            </w:r>
          </w:p>
        </w:tc>
      </w:tr>
    </w:tbl>
    <w:p>
      <w:pPr>
        <w:spacing w:after="60"/>
      </w:pPr>
    </w:p>
    <w:p>
      <w:pPr>
        <w:pStyle w:val="ListBullet"/>
        <w:spacing w:after="40"/>
      </w:pPr>
      <w:r>
        <w:rPr>
          <w:rFonts w:ascii="Arial" w:hAnsi="Arial"/>
          <w:b/>
          <w:sz w:val="19"/>
        </w:rPr>
        <w:t xml:space="preserve">Patient Positioning: </w:t>
      </w:r>
      <w:r>
        <w:rPr>
          <w:rFonts w:ascii="Arial" w:hAnsi="Arial"/>
          <w:sz w:val="19"/>
        </w:rPr>
        <w:t>Transport the patient in the position of comfort, typically supine with the **knees flexed (bent)** and supported by pillows. This relaxes abdominal wall musculature and decreases peritoneal tension.</w:t>
      </w:r>
    </w:p>
    <w:p>
      <w:pPr>
        <w:pStyle w:val="ListBullet"/>
        <w:spacing w:after="40"/>
      </w:pPr>
      <w:r>
        <w:rPr>
          <w:rFonts w:ascii="Arial" w:hAnsi="Arial"/>
          <w:b/>
          <w:sz w:val="19"/>
        </w:rPr>
        <w:t xml:space="preserve">The Strict NPO Rule: </w:t>
      </w:r>
      <w:r>
        <w:rPr>
          <w:rFonts w:ascii="Arial" w:hAnsi="Arial"/>
          <w:sz w:val="19"/>
        </w:rPr>
        <w:t>Patients with an acute abdomen must receive **NOTHING BY MOUTH** (no food, no sips of water, no oral pills). Oral intake delays emergency surgical intervention and induces aspiration during general anesthesia.</w:t>
      </w:r>
    </w:p>
    <w:p>
      <w:pPr>
        <w:pStyle w:val="ListBullet"/>
        <w:spacing w:after="40"/>
      </w:pPr>
      <w:r>
        <w:rPr>
          <w:rFonts w:ascii="Arial" w:hAnsi="Arial"/>
          <w:b/>
          <w:sz w:val="19"/>
        </w:rPr>
        <w:t xml:space="preserve">Shock &amp; Oxygen Management: </w:t>
      </w:r>
      <w:r>
        <w:rPr>
          <w:rFonts w:ascii="Arial" w:hAnsi="Arial"/>
          <w:sz w:val="19"/>
        </w:rPr>
        <w:t>Administer targeted oxygen (nasal cannula or NRB) to manage hypoperfusion and relieve nausea. Maintain thermal conservation with warm blankets, and initiate rapid transport.</w:t>
      </w:r>
    </w:p>
    <w:p>
      <w:pPr>
        <w:spacing w:before="280" w:after="60"/>
      </w:pPr>
      <w:r>
        <w:rPr>
          <w:rFonts w:ascii="Arial" w:hAnsi="Arial"/>
          <w:b/>
          <w:color w:val="0F2240"/>
          <w:sz w:val="28"/>
        </w:rPr>
        <w:t>MODULE 3: COMPREHENSIVE REVIEW QUESTIONS &amp; RATIONALES</w:t>
      </w:r>
    </w:p>
    <w:p>
      <w:pPr>
        <w:spacing w:after="80" w:before="0"/>
      </w:pPr>
      <w:r>
        <w:t>―――――――――――――――――――――――――――――――――――――――――――――――――――――――</w:t>
      </w:r>
    </w:p>
    <w:p>
      <w:pPr>
        <w:spacing w:before="120" w:after="20"/>
      </w:pPr>
      <w:r>
        <w:rPr>
          <w:rFonts w:ascii="Arial" w:hAnsi="Arial"/>
          <w:b/>
          <w:color w:val="146428"/>
          <w:sz w:val="20"/>
        </w:rPr>
        <w:t>Q1: Pharmacology is defined as the:</w:t>
      </w:r>
    </w:p>
    <w:p>
      <w:pPr>
        <w:spacing w:after="60" w:line="276" w:lineRule="auto"/>
      </w:pPr>
      <w:r>
        <w:rPr>
          <w:rFonts w:ascii="Arial" w:hAnsi="Arial"/>
          <w:sz w:val="19"/>
        </w:rPr>
        <w:t>A. study of cells and tissues.</w:t>
        <w:br/>
        <w:t>B. study of drugs and medications.</w:t>
        <w:br/>
        <w:t>C. effects of medications in the lungs.</w:t>
        <w:br/>
        <w:t>D. distribution of drugs to the body's tissues.</w:t>
      </w:r>
    </w:p>
    <w:p>
      <w:pPr>
        <w:pStyle w:val="ListBullet"/>
        <w:spacing w:after="40"/>
      </w:pPr>
      <w:r>
        <w:rPr>
          <w:rFonts w:ascii="Arial" w:hAnsi="Arial"/>
          <w:b/>
          <w:sz w:val="19"/>
        </w:rPr>
        <w:t xml:space="preserve">Correct Option: </w:t>
      </w:r>
      <w:r>
        <w:rPr>
          <w:rFonts w:ascii="Arial" w:hAnsi="Arial"/>
          <w:sz w:val="19"/>
        </w:rPr>
        <w:t>Answer: B</w:t>
      </w:r>
    </w:p>
    <w:p>
      <w:pPr>
        <w:pStyle w:val="ListBullet"/>
        <w:spacing w:after="40"/>
      </w:pPr>
      <w:r>
        <w:rPr>
          <w:rFonts w:ascii="Arial" w:hAnsi="Arial"/>
          <w:b/>
          <w:sz w:val="19"/>
        </w:rPr>
        <w:t xml:space="preserve">Instructor Rationale: </w:t>
      </w:r>
      <w:r>
        <w:rPr>
          <w:rFonts w:ascii="Arial" w:hAnsi="Arial"/>
          <w:sz w:val="19"/>
        </w:rPr>
        <w:t>Pharmacology is the field of medical science dealing with the study of drugs and medications. Physiology is the study of cells/tissues. Pharmacodynamics studies physiological responses to drugs. Pharmacokinetics studies drug absorption, distribution, metabolism, and elimination.</w:t>
      </w:r>
    </w:p>
    <w:p>
      <w:pPr>
        <w:spacing w:before="120" w:after="20"/>
      </w:pPr>
      <w:r>
        <w:rPr>
          <w:rFonts w:ascii="Arial" w:hAnsi="Arial"/>
          <w:b/>
          <w:color w:val="146428"/>
          <w:sz w:val="20"/>
        </w:rPr>
        <w:t>Q2: Which of the following routes of medication administration has the fastest effect?</w:t>
      </w:r>
    </w:p>
    <w:p>
      <w:pPr>
        <w:spacing w:after="60" w:line="276" w:lineRule="auto"/>
      </w:pPr>
      <w:r>
        <w:rPr>
          <w:rFonts w:ascii="Arial" w:hAnsi="Arial"/>
          <w:sz w:val="19"/>
        </w:rPr>
        <w:t>A. Oral</w:t>
        <w:br/>
        <w:t>B. Intravenous</w:t>
        <w:br/>
        <w:t>C. Subcutaneous</w:t>
        <w:br/>
        <w:t>D. Intramuscular</w:t>
      </w:r>
    </w:p>
    <w:p>
      <w:pPr>
        <w:pStyle w:val="ListBullet"/>
        <w:spacing w:after="40"/>
      </w:pPr>
      <w:r>
        <w:rPr>
          <w:rFonts w:ascii="Arial" w:hAnsi="Arial"/>
          <w:b/>
          <w:sz w:val="19"/>
        </w:rPr>
        <w:t xml:space="preserve">Correct Option: </w:t>
      </w:r>
      <w:r>
        <w:rPr>
          <w:rFonts w:ascii="Arial" w:hAnsi="Arial"/>
          <w:sz w:val="19"/>
        </w:rPr>
        <w:t>Answer: B</w:t>
      </w:r>
    </w:p>
    <w:p>
      <w:pPr>
        <w:pStyle w:val="ListBullet"/>
        <w:spacing w:after="40"/>
      </w:pPr>
      <w:r>
        <w:rPr>
          <w:rFonts w:ascii="Arial" w:hAnsi="Arial"/>
          <w:b/>
          <w:sz w:val="19"/>
        </w:rPr>
        <w:t xml:space="preserve">Instructor Rationale: </w:t>
      </w:r>
      <w:r>
        <w:rPr>
          <w:rFonts w:ascii="Arial" w:hAnsi="Arial"/>
          <w:sz w:val="19"/>
        </w:rPr>
        <w:t>Intravenous (IV) injection delivers medication directly into the bloodstream with immediate bioavailability and fastest action. Intraosseous (IO) is equivalent. Oral is slowest due to digestive transit.</w:t>
      </w:r>
    </w:p>
    <w:p>
      <w:pPr>
        <w:spacing w:before="120" w:after="20"/>
      </w:pPr>
      <w:r>
        <w:rPr>
          <w:rFonts w:ascii="Arial" w:hAnsi="Arial"/>
          <w:b/>
          <w:color w:val="146428"/>
          <w:sz w:val="20"/>
        </w:rPr>
        <w:t>Q3: Which of the following organs lies in the retroperitoneal space?</w:t>
      </w:r>
    </w:p>
    <w:p>
      <w:pPr>
        <w:spacing w:after="60" w:line="276" w:lineRule="auto"/>
      </w:pPr>
      <w:r>
        <w:rPr>
          <w:rFonts w:ascii="Arial" w:hAnsi="Arial"/>
          <w:sz w:val="19"/>
        </w:rPr>
        <w:t>A. Liver</w:t>
        <w:br/>
        <w:t>B. Pancreas</w:t>
        <w:br/>
        <w:t>C. Stomach</w:t>
        <w:br/>
        <w:t>D. Small intestine</w:t>
      </w:r>
    </w:p>
    <w:p>
      <w:pPr>
        <w:pStyle w:val="ListBullet"/>
        <w:spacing w:after="40"/>
      </w:pPr>
      <w:r>
        <w:rPr>
          <w:rFonts w:ascii="Arial" w:hAnsi="Arial"/>
          <w:b/>
          <w:sz w:val="19"/>
        </w:rPr>
        <w:t xml:space="preserve">Correct Option: </w:t>
      </w:r>
      <w:r>
        <w:rPr>
          <w:rFonts w:ascii="Arial" w:hAnsi="Arial"/>
          <w:sz w:val="19"/>
        </w:rPr>
        <w:t>Answer: B</w:t>
      </w:r>
    </w:p>
    <w:p>
      <w:pPr>
        <w:pStyle w:val="ListBullet"/>
        <w:spacing w:after="40"/>
      </w:pPr>
      <w:r>
        <w:rPr>
          <w:rFonts w:ascii="Arial" w:hAnsi="Arial"/>
          <w:b/>
          <w:sz w:val="19"/>
        </w:rPr>
        <w:t xml:space="preserve">Instructor Rationale: </w:t>
      </w:r>
      <w:r>
        <w:rPr>
          <w:rFonts w:ascii="Arial" w:hAnsi="Arial"/>
          <w:sz w:val="19"/>
        </w:rPr>
        <w:t>The pancreas, kidneys, adrenal glands, and abdominal aorta lie in the retroperitoneal space behind the peritoneum. The liver, gallbladder, stomach, spleen, and intestines reside within the anterior peritoneal cavity.</w:t>
      </w:r>
    </w:p>
    <w:p>
      <w:pPr>
        <w:spacing w:before="120" w:after="20"/>
      </w:pPr>
      <w:r>
        <w:rPr>
          <w:rFonts w:ascii="Arial" w:hAnsi="Arial"/>
          <w:b/>
          <w:color w:val="146428"/>
          <w:sz w:val="20"/>
        </w:rPr>
        <w:t>Q4: Which of the following is NOT a solid organ?</w:t>
      </w:r>
    </w:p>
    <w:p>
      <w:pPr>
        <w:spacing w:after="60" w:line="276" w:lineRule="auto"/>
      </w:pPr>
      <w:r>
        <w:rPr>
          <w:rFonts w:ascii="Arial" w:hAnsi="Arial"/>
          <w:sz w:val="19"/>
        </w:rPr>
        <w:t>A. Liver</w:t>
        <w:br/>
        <w:t>B. Kidney</w:t>
        <w:br/>
        <w:t>C. Spleen</w:t>
        <w:br/>
        <w:t>D. Gallbladder</w:t>
      </w:r>
    </w:p>
    <w:p>
      <w:pPr>
        <w:pStyle w:val="ListBullet"/>
        <w:spacing w:after="40"/>
      </w:pPr>
      <w:r>
        <w:rPr>
          <w:rFonts w:ascii="Arial" w:hAnsi="Arial"/>
          <w:b/>
          <w:sz w:val="19"/>
        </w:rPr>
        <w:t xml:space="preserve">Correct Option: </w:t>
      </w:r>
      <w:r>
        <w:rPr>
          <w:rFonts w:ascii="Arial" w:hAnsi="Arial"/>
          <w:sz w:val="19"/>
        </w:rPr>
        <w:t>Answer: D</w:t>
      </w:r>
    </w:p>
    <w:p>
      <w:pPr>
        <w:pStyle w:val="ListBullet"/>
        <w:spacing w:after="40"/>
      </w:pPr>
      <w:r>
        <w:rPr>
          <w:rFonts w:ascii="Arial" w:hAnsi="Arial"/>
          <w:b/>
          <w:sz w:val="19"/>
        </w:rPr>
        <w:t xml:space="preserve">Instructor Rationale: </w:t>
      </w:r>
      <w:r>
        <w:rPr>
          <w:rFonts w:ascii="Arial" w:hAnsi="Arial"/>
          <w:sz w:val="19"/>
        </w:rPr>
        <w:t>The gallbladder is a hollow organ that concentrates and stores bile produced by the liver. Solid organs include the liver, spleen, kidneys, pancreas, and ovaries.</w:t>
      </w:r>
    </w:p>
    <w:p>
      <w:pPr>
        <w:spacing w:before="120" w:after="20"/>
      </w:pPr>
      <w:r>
        <w:rPr>
          <w:rFonts w:ascii="Arial" w:hAnsi="Arial"/>
          <w:b/>
          <w:color w:val="146428"/>
          <w:sz w:val="20"/>
        </w:rPr>
        <w:t>Q5: A 34-year-old woman with pelvic inflammatory disease presents with acute severe abdominal pain, distension, and diffuse tenderness. You should suspect:</w:t>
      </w:r>
    </w:p>
    <w:p>
      <w:pPr>
        <w:spacing w:after="60" w:line="276" w:lineRule="auto"/>
      </w:pPr>
      <w:r>
        <w:rPr>
          <w:rFonts w:ascii="Arial" w:hAnsi="Arial"/>
          <w:sz w:val="19"/>
        </w:rPr>
        <w:t>A. Peritonitis</w:t>
        <w:br/>
        <w:t>B. Pancreatitis</w:t>
        <w:br/>
        <w:t>C. Appendicitis</w:t>
        <w:br/>
        <w:t>D. Cholecystitis</w:t>
      </w:r>
    </w:p>
    <w:p>
      <w:pPr>
        <w:pStyle w:val="ListBullet"/>
        <w:spacing w:after="40"/>
      </w:pPr>
      <w:r>
        <w:rPr>
          <w:rFonts w:ascii="Arial" w:hAnsi="Arial"/>
          <w:b/>
          <w:sz w:val="19"/>
        </w:rPr>
        <w:t xml:space="preserve">Correct Option: </w:t>
      </w:r>
      <w:r>
        <w:rPr>
          <w:rFonts w:ascii="Arial" w:hAnsi="Arial"/>
          <w:sz w:val="19"/>
        </w:rPr>
        <w:t>Answer: A</w:t>
      </w:r>
    </w:p>
    <w:p>
      <w:pPr>
        <w:pStyle w:val="ListBullet"/>
        <w:spacing w:after="40"/>
      </w:pPr>
      <w:r>
        <w:rPr>
          <w:rFonts w:ascii="Arial" w:hAnsi="Arial"/>
          <w:b/>
          <w:sz w:val="19"/>
        </w:rPr>
        <w:t xml:space="preserve">Instructor Rationale: </w:t>
      </w:r>
      <w:r>
        <w:rPr>
          <w:rFonts w:ascii="Arial" w:hAnsi="Arial"/>
          <w:sz w:val="19"/>
        </w:rPr>
        <w:t>Peritonitis presents with diffuse, widespread abdominal pain and distension. Appendicitis (RLQ), pancreatitis (epigastric/back), and cholecystitis (RUQ/shoulder) typically present with localized pain.</w:t>
      </w:r>
    </w:p>
    <w:p>
      <w:pPr>
        <w:spacing w:before="120" w:after="20"/>
      </w:pPr>
      <w:r>
        <w:rPr>
          <w:rFonts w:ascii="Arial" w:hAnsi="Arial"/>
          <w:b/>
          <w:color w:val="146428"/>
          <w:sz w:val="20"/>
        </w:rPr>
        <w:t>Q6: Most patients presenting with an acute abdomen present with which vital sign abnormality?</w:t>
      </w:r>
    </w:p>
    <w:p>
      <w:pPr>
        <w:spacing w:after="60" w:line="276" w:lineRule="auto"/>
      </w:pPr>
      <w:r>
        <w:rPr>
          <w:rFonts w:ascii="Arial" w:hAnsi="Arial"/>
          <w:sz w:val="19"/>
        </w:rPr>
        <w:t>A. Dyspnea</w:t>
        <w:br/>
        <w:t>B. Diarrhea</w:t>
        <w:br/>
        <w:t>C. Hypotension</w:t>
        <w:br/>
        <w:t>D. Tachycardia</w:t>
      </w:r>
    </w:p>
    <w:p>
      <w:pPr>
        <w:pStyle w:val="ListBullet"/>
        <w:spacing w:after="40"/>
      </w:pPr>
      <w:r>
        <w:rPr>
          <w:rFonts w:ascii="Arial" w:hAnsi="Arial"/>
          <w:b/>
          <w:sz w:val="19"/>
        </w:rPr>
        <w:t xml:space="preserve">Correct Option: </w:t>
      </w:r>
      <w:r>
        <w:rPr>
          <w:rFonts w:ascii="Arial" w:hAnsi="Arial"/>
          <w:sz w:val="19"/>
        </w:rPr>
        <w:t>Answer: D</w:t>
      </w:r>
    </w:p>
    <w:p>
      <w:pPr>
        <w:pStyle w:val="ListBullet"/>
        <w:spacing w:after="40"/>
      </w:pPr>
      <w:r>
        <w:rPr>
          <w:rFonts w:ascii="Arial" w:hAnsi="Arial"/>
          <w:b/>
          <w:sz w:val="19"/>
        </w:rPr>
        <w:t xml:space="preserve">Instructor Rationale: </w:t>
      </w:r>
      <w:r>
        <w:rPr>
          <w:rFonts w:ascii="Arial" w:hAnsi="Arial"/>
          <w:sz w:val="19"/>
        </w:rPr>
        <w:t>Tachycardia (HR &gt; 100 bpm) is the most common vital sign abnormality in an acute abdomen, resulting from sympathetic stimulation secondary to intense visceral or parietal pain. Hypotension indicates advanced shock.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