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B9EB" w14:textId="77777777" w:rsidR="00885487" w:rsidRPr="006857B7" w:rsidRDefault="00885487" w:rsidP="00885487">
      <w:pPr>
        <w:spacing w:after="240"/>
        <w:jc w:val="center"/>
        <w:rPr>
          <w:rFonts w:ascii="Times New Roman" w:hAnsi="Times New Roman" w:cs="Times New Roman"/>
          <w:b/>
          <w:smallCaps/>
          <w:sz w:val="40"/>
          <w:szCs w:val="36"/>
        </w:rPr>
      </w:pPr>
      <w:r w:rsidRPr="006857B7">
        <w:rPr>
          <w:rFonts w:ascii="Times New Roman" w:hAnsi="Times New Roman" w:cs="Times New Roman"/>
          <w:b/>
          <w:smallCaps/>
          <w:sz w:val="40"/>
          <w:szCs w:val="36"/>
        </w:rPr>
        <w:t>Budapesti Corvinus Egyetem</w:t>
      </w:r>
    </w:p>
    <w:p w14:paraId="625A3EA4" w14:textId="77777777" w:rsidR="00885487" w:rsidRPr="006857B7" w:rsidRDefault="00885487" w:rsidP="00885487">
      <w:pPr>
        <w:spacing w:after="2040"/>
        <w:jc w:val="center"/>
        <w:rPr>
          <w:rFonts w:ascii="Times New Roman" w:hAnsi="Times New Roman" w:cs="Times New Roman"/>
          <w:sz w:val="28"/>
        </w:rPr>
      </w:pPr>
      <w:r w:rsidRPr="006857B7">
        <w:rPr>
          <w:rFonts w:ascii="Times New Roman" w:hAnsi="Times New Roman" w:cs="Times New Roman"/>
          <w:sz w:val="28"/>
        </w:rPr>
        <w:t>Adatelemzés és Informatika Intézet</w:t>
      </w:r>
      <w:r w:rsidRPr="006857B7">
        <w:rPr>
          <w:rFonts w:ascii="Times New Roman" w:hAnsi="Times New Roman" w:cs="Times New Roman"/>
          <w:spacing w:val="1"/>
          <w:sz w:val="28"/>
        </w:rPr>
        <w:t xml:space="preserve"> </w:t>
      </w:r>
      <w:r w:rsidRPr="006857B7">
        <w:rPr>
          <w:rFonts w:ascii="Times New Roman" w:hAnsi="Times New Roman" w:cs="Times New Roman"/>
          <w:spacing w:val="1"/>
          <w:sz w:val="28"/>
        </w:rPr>
        <w:br/>
      </w:r>
      <w:r w:rsidRPr="006857B7">
        <w:rPr>
          <w:rFonts w:ascii="Times New Roman" w:hAnsi="Times New Roman" w:cs="Times New Roman"/>
          <w:spacing w:val="-1"/>
          <w:sz w:val="28"/>
        </w:rPr>
        <w:t>Statisztika</w:t>
      </w:r>
      <w:r w:rsidRPr="006857B7">
        <w:rPr>
          <w:rFonts w:ascii="Times New Roman" w:hAnsi="Times New Roman" w:cs="Times New Roman"/>
          <w:spacing w:val="-13"/>
          <w:sz w:val="28"/>
        </w:rPr>
        <w:t xml:space="preserve"> </w:t>
      </w:r>
      <w:r w:rsidRPr="006857B7">
        <w:rPr>
          <w:rFonts w:ascii="Times New Roman" w:hAnsi="Times New Roman" w:cs="Times New Roman"/>
          <w:sz w:val="28"/>
        </w:rPr>
        <w:t>Tanszék</w:t>
      </w:r>
    </w:p>
    <w:p w14:paraId="5A6F1CE3" w14:textId="2A9CDDAF" w:rsidR="0073453C" w:rsidRDefault="00606A29" w:rsidP="00606A29">
      <w:pPr>
        <w:spacing w:after="2200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606A29">
        <w:rPr>
          <w:rFonts w:ascii="Times New Roman" w:hAnsi="Times New Roman" w:cs="Times New Roman"/>
          <w:b/>
          <w:smallCaps/>
          <w:sz w:val="56"/>
          <w:szCs w:val="56"/>
        </w:rPr>
        <w:t>Az olasz vasúti utasszám dinamikus meghatározói: a légi utasforgalom és a fogyasztás szerepének vizsgálata</w:t>
      </w:r>
      <w:r w:rsidR="00D0583C">
        <w:br/>
      </w:r>
      <w:r>
        <w:rPr>
          <w:rFonts w:ascii="Times New Roman" w:hAnsi="Times New Roman" w:cs="Times New Roman"/>
          <w:b/>
          <w:bCs/>
          <w:smallCaps/>
          <w:sz w:val="56"/>
          <w:szCs w:val="56"/>
        </w:rPr>
        <w:t>(</w:t>
      </w:r>
      <w:r w:rsidR="1D9C5660" w:rsidRPr="1D9C5660">
        <w:rPr>
          <w:rFonts w:ascii="Times New Roman" w:hAnsi="Times New Roman" w:cs="Times New Roman"/>
          <w:b/>
          <w:bCs/>
          <w:smallCaps/>
          <w:sz w:val="56"/>
          <w:szCs w:val="56"/>
        </w:rPr>
        <w:t>20</w:t>
      </w:r>
      <w:r>
        <w:rPr>
          <w:rFonts w:ascii="Times New Roman" w:hAnsi="Times New Roman" w:cs="Times New Roman"/>
          <w:b/>
          <w:bCs/>
          <w:smallCaps/>
          <w:sz w:val="56"/>
          <w:szCs w:val="56"/>
        </w:rPr>
        <w:t>04</w:t>
      </w:r>
      <w:r w:rsidR="00885487" w:rsidRPr="1D9C5660">
        <w:rPr>
          <w:rFonts w:ascii="Times New Roman" w:hAnsi="Times New Roman" w:cs="Times New Roman"/>
          <w:b/>
          <w:smallCaps/>
          <w:sz w:val="56"/>
          <w:szCs w:val="56"/>
        </w:rPr>
        <w:t>-2025</w:t>
      </w:r>
      <w:r>
        <w:rPr>
          <w:rFonts w:ascii="Times New Roman" w:hAnsi="Times New Roman" w:cs="Times New Roman"/>
          <w:b/>
          <w:smallCaps/>
          <w:sz w:val="56"/>
          <w:szCs w:val="56"/>
        </w:rPr>
        <w:t>)</w:t>
      </w:r>
    </w:p>
    <w:p w14:paraId="5C556B82" w14:textId="77777777" w:rsidR="0073453C" w:rsidRDefault="0073453C" w:rsidP="0073453C">
      <w:pPr>
        <w:spacing w:before="160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C09FEA4" w14:textId="73B405F5" w:rsidR="00D0583C" w:rsidRPr="006857B7" w:rsidRDefault="00885487" w:rsidP="0073453C">
      <w:pPr>
        <w:spacing w:before="160"/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kern w:val="2"/>
          <w:sz w:val="28"/>
          <w14:ligatures w14:val="standardContextual"/>
        </w:rPr>
        <w:t>SZERZŐ</w:t>
      </w:r>
      <w:r w:rsidR="00D0583C" w:rsidRPr="006857B7">
        <w:rPr>
          <w:rFonts w:ascii="Times New Roman" w:hAnsi="Times New Roman" w:cs="Times New Roman"/>
          <w:kern w:val="2"/>
          <w:sz w:val="28"/>
          <w14:ligatures w14:val="standardContextual"/>
        </w:rPr>
        <w:t>K</w:t>
      </w:r>
      <w:r w:rsidRPr="006857B7">
        <w:rPr>
          <w:rFonts w:ascii="Times New Roman" w:hAnsi="Times New Roman" w:cs="Times New Roman"/>
          <w:b/>
          <w:bCs/>
        </w:rPr>
        <w:t>:</w:t>
      </w:r>
      <w:r w:rsidR="00D0583C">
        <w:br/>
      </w:r>
      <w:r w:rsidR="00D0583C" w:rsidRPr="006857B7">
        <w:rPr>
          <w:rFonts w:ascii="Times New Roman" w:hAnsi="Times New Roman" w:cs="Times New Roman"/>
          <w:sz w:val="24"/>
          <w:szCs w:val="24"/>
        </w:rPr>
        <w:t>Szirák Szabolcs</w:t>
      </w:r>
      <w:r w:rsidR="59794085" w:rsidRPr="59794085">
        <w:rPr>
          <w:rFonts w:ascii="Times New Roman" w:hAnsi="Times New Roman" w:cs="Times New Roman"/>
          <w:sz w:val="24"/>
          <w:szCs w:val="24"/>
        </w:rPr>
        <w:t xml:space="preserve"> </w:t>
      </w:r>
      <w:r w:rsidR="6CCC3026" w:rsidRPr="6CCC3026">
        <w:rPr>
          <w:rFonts w:ascii="Times New Roman" w:hAnsi="Times New Roman" w:cs="Times New Roman"/>
          <w:sz w:val="24"/>
          <w:szCs w:val="24"/>
        </w:rPr>
        <w:t>(</w:t>
      </w:r>
      <w:r w:rsidR="68A0C5E5" w:rsidRPr="68A0C5E5">
        <w:rPr>
          <w:rFonts w:ascii="Times New Roman" w:hAnsi="Times New Roman" w:cs="Times New Roman"/>
          <w:sz w:val="24"/>
          <w:szCs w:val="24"/>
        </w:rPr>
        <w:t>HQAWFS</w:t>
      </w:r>
      <w:r w:rsidR="20F80DBF" w:rsidRPr="20F80DBF">
        <w:rPr>
          <w:rFonts w:ascii="Times New Roman" w:hAnsi="Times New Roman" w:cs="Times New Roman"/>
          <w:sz w:val="24"/>
          <w:szCs w:val="24"/>
        </w:rPr>
        <w:t>)</w:t>
      </w:r>
    </w:p>
    <w:p w14:paraId="6231262C" w14:textId="77777777" w:rsidR="00885487" w:rsidRPr="006857B7" w:rsidRDefault="00885487" w:rsidP="00D0583C">
      <w:pPr>
        <w:spacing w:before="800" w:after="800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6857B7">
        <w:rPr>
          <w:rFonts w:ascii="Times New Roman" w:hAnsi="Times New Roman" w:cs="Times New Roman"/>
          <w:b/>
          <w:smallCaps/>
          <w:sz w:val="24"/>
          <w:szCs w:val="24"/>
        </w:rPr>
        <w:t>Gazdaság- és pénzügy-matematikai elemzés</w:t>
      </w:r>
    </w:p>
    <w:p w14:paraId="12926285" w14:textId="5077F260" w:rsidR="00885487" w:rsidRPr="006857B7" w:rsidRDefault="00885487" w:rsidP="00885487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b/>
          <w:bCs/>
          <w:sz w:val="24"/>
          <w:szCs w:val="24"/>
        </w:rPr>
        <w:t>Tárgy:</w:t>
      </w:r>
      <w:r w:rsidRPr="006857B7">
        <w:rPr>
          <w:rFonts w:ascii="Times New Roman" w:hAnsi="Times New Roman" w:cs="Times New Roman"/>
          <w:sz w:val="24"/>
          <w:szCs w:val="24"/>
        </w:rPr>
        <w:t xml:space="preserve"> Idősoros </w:t>
      </w:r>
      <w:proofErr w:type="spellStart"/>
      <w:r w:rsidR="004F611D" w:rsidRPr="006857B7">
        <w:rPr>
          <w:rFonts w:ascii="Times New Roman" w:hAnsi="Times New Roman" w:cs="Times New Roman"/>
          <w:sz w:val="24"/>
          <w:szCs w:val="24"/>
        </w:rPr>
        <w:t>Ökonometria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I</w:t>
      </w:r>
      <w:r w:rsidR="00CB4CBA">
        <w:rPr>
          <w:rFonts w:ascii="Times New Roman" w:hAnsi="Times New Roman" w:cs="Times New Roman"/>
          <w:sz w:val="24"/>
          <w:szCs w:val="24"/>
        </w:rPr>
        <w:t>I</w:t>
      </w:r>
      <w:r w:rsidRPr="006857B7">
        <w:rPr>
          <w:rFonts w:ascii="Times New Roman" w:hAnsi="Times New Roman" w:cs="Times New Roman"/>
          <w:sz w:val="24"/>
          <w:szCs w:val="24"/>
        </w:rPr>
        <w:t>.</w:t>
      </w:r>
      <w:r w:rsidRPr="006857B7">
        <w:rPr>
          <w:rFonts w:ascii="Times New Roman" w:hAnsi="Times New Roman" w:cs="Times New Roman"/>
          <w:sz w:val="24"/>
          <w:szCs w:val="24"/>
        </w:rPr>
        <w:br/>
      </w:r>
      <w:r w:rsidRPr="006857B7">
        <w:rPr>
          <w:rFonts w:ascii="Times New Roman" w:hAnsi="Times New Roman" w:cs="Times New Roman"/>
          <w:b/>
          <w:bCs/>
          <w:sz w:val="24"/>
          <w:szCs w:val="24"/>
        </w:rPr>
        <w:t>Oktató:</w:t>
      </w:r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="000538F4">
        <w:rPr>
          <w:rFonts w:ascii="Times New Roman" w:hAnsi="Times New Roman" w:cs="Times New Roman"/>
          <w:sz w:val="24"/>
          <w:szCs w:val="24"/>
        </w:rPr>
        <w:t>Iványi Domokos Xavér</w:t>
      </w:r>
    </w:p>
    <w:p w14:paraId="2776ADCF" w14:textId="48361917" w:rsidR="00D717ED" w:rsidRPr="0071543C" w:rsidRDefault="00885487" w:rsidP="0071543C">
      <w:pPr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sz w:val="24"/>
          <w:szCs w:val="24"/>
        </w:rPr>
        <w:t>Budapest</w:t>
      </w:r>
      <w:r w:rsidRPr="006857B7">
        <w:rPr>
          <w:rFonts w:ascii="Times New Roman" w:hAnsi="Times New Roman" w:cs="Times New Roman"/>
          <w:sz w:val="24"/>
          <w:szCs w:val="24"/>
        </w:rPr>
        <w:br/>
        <w:t>2025</w:t>
      </w:r>
    </w:p>
    <w:p w14:paraId="0F5F8342" w14:textId="562C2FB1" w:rsidR="1D9C5660" w:rsidRPr="00A6709D" w:rsidRDefault="1D9C5660" w:rsidP="00A6709D">
      <w:pPr>
        <w:pStyle w:val="Cmsor1"/>
        <w:ind w:left="284"/>
      </w:pPr>
      <w:bookmarkStart w:id="0" w:name="_Toc199272882"/>
      <w:r w:rsidRPr="00A6709D">
        <w:lastRenderedPageBreak/>
        <w:t>Bevezetés</w:t>
      </w:r>
      <w:bookmarkEnd w:id="0"/>
    </w:p>
    <w:p w14:paraId="0DCA36E6" w14:textId="46BAEC69" w:rsidR="00606A29" w:rsidRDefault="00606A29" w:rsidP="00D5243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vasúti közlekedés a személyszállítás egyik legfontosabb formája</w:t>
      </w:r>
      <w:r w:rsidRPr="00606A29">
        <w:rPr>
          <w:rFonts w:ascii="Times New Roman" w:eastAsia="Times New Roman" w:hAnsi="Times New Roman" w:cs="Times New Roman"/>
          <w:sz w:val="24"/>
          <w:szCs w:val="24"/>
        </w:rPr>
        <w:t xml:space="preserve">. Olaszországban a vasúti közlekedés különösen jelentős szerepet tölt be, hiszen a nagysebességű vasútvonalak kiépítésével és modernizációjával az elmúlt két évtizedben a vasút a belföldi utazások </w:t>
      </w:r>
      <w:r w:rsidR="008E4FA5">
        <w:rPr>
          <w:rFonts w:ascii="Times New Roman" w:eastAsia="Times New Roman" w:hAnsi="Times New Roman" w:cs="Times New Roman"/>
          <w:sz w:val="24"/>
          <w:szCs w:val="24"/>
        </w:rPr>
        <w:t>a gyors és hatékony alternatívájává vált</w:t>
      </w:r>
      <w:r w:rsidRPr="00606A29">
        <w:rPr>
          <w:rFonts w:ascii="Times New Roman" w:eastAsia="Times New Roman" w:hAnsi="Times New Roman" w:cs="Times New Roman"/>
          <w:sz w:val="24"/>
          <w:szCs w:val="24"/>
        </w:rPr>
        <w:t xml:space="preserve">. A vasúti utasszám alakulása ezért nem csupán közlekedési szempontból releváns, hanem a lakosság </w:t>
      </w:r>
      <w:r w:rsidR="008E4FA5">
        <w:rPr>
          <w:rFonts w:ascii="Times New Roman" w:eastAsia="Times New Roman" w:hAnsi="Times New Roman" w:cs="Times New Roman"/>
          <w:sz w:val="24"/>
          <w:szCs w:val="24"/>
        </w:rPr>
        <w:t>utazási</w:t>
      </w:r>
      <w:r w:rsidRPr="00606A29">
        <w:rPr>
          <w:rFonts w:ascii="Times New Roman" w:eastAsia="Times New Roman" w:hAnsi="Times New Roman" w:cs="Times New Roman"/>
          <w:sz w:val="24"/>
          <w:szCs w:val="24"/>
        </w:rPr>
        <w:t xml:space="preserve"> döntéseinek, fogyasztási szokásainak és a gazdasági aktivitásnak is érzékeny mutatója.</w:t>
      </w:r>
    </w:p>
    <w:p w14:paraId="50023E4C" w14:textId="552B34A4" w:rsidR="008E4FA5" w:rsidRPr="008E4FA5" w:rsidRDefault="008E4FA5" w:rsidP="008E4FA5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4FA5">
        <w:rPr>
          <w:rFonts w:ascii="Times New Roman" w:eastAsia="Times New Roman" w:hAnsi="Times New Roman" w:cs="Times New Roman"/>
          <w:sz w:val="24"/>
          <w:szCs w:val="24"/>
        </w:rPr>
        <w:t xml:space="preserve">A vasúti utasforgalmat azonban nem </w:t>
      </w:r>
      <w:r>
        <w:rPr>
          <w:rFonts w:ascii="Times New Roman" w:eastAsia="Times New Roman" w:hAnsi="Times New Roman" w:cs="Times New Roman"/>
          <w:sz w:val="24"/>
          <w:szCs w:val="24"/>
        </w:rPr>
        <w:t>magában</w:t>
      </w:r>
      <w:r w:rsidRPr="008E4F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fogjuk</w:t>
      </w:r>
      <w:r w:rsidRPr="008E4FA5">
        <w:rPr>
          <w:rFonts w:ascii="Times New Roman" w:eastAsia="Times New Roman" w:hAnsi="Times New Roman" w:cs="Times New Roman"/>
          <w:sz w:val="24"/>
          <w:szCs w:val="24"/>
        </w:rPr>
        <w:t xml:space="preserve"> vizsgálni. A közlekedési módok között</w:t>
      </w:r>
      <w:r w:rsidR="00636A3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E4FA5">
        <w:rPr>
          <w:rFonts w:ascii="Times New Roman" w:eastAsia="Times New Roman" w:hAnsi="Times New Roman" w:cs="Times New Roman"/>
          <w:sz w:val="24"/>
          <w:szCs w:val="24"/>
        </w:rPr>
        <w:t xml:space="preserve"> különösen a vasúti és a légi közlekedés között</w:t>
      </w:r>
      <w:r w:rsidR="00636A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FA5">
        <w:rPr>
          <w:rFonts w:ascii="Times New Roman" w:eastAsia="Times New Roman" w:hAnsi="Times New Roman" w:cs="Times New Roman"/>
          <w:sz w:val="24"/>
          <w:szCs w:val="24"/>
        </w:rPr>
        <w:t xml:space="preserve">sok esetben versengés vagy kiegészítő kapcsolat figyelhető meg, amely hosszú távon is befolyásolhatja az utazási döntéseket. Ezzel párhuzamosan a lakossági fogyasztás a gazdasági ciklusok egyik vezető mutatójaként szintén hatással lehet az utazási keresletre: egy fellendülő fogyasztási szint általában növekvő </w:t>
      </w:r>
      <w:r w:rsidR="00636A31">
        <w:rPr>
          <w:rFonts w:ascii="Times New Roman" w:eastAsia="Times New Roman" w:hAnsi="Times New Roman" w:cs="Times New Roman"/>
          <w:sz w:val="24"/>
          <w:szCs w:val="24"/>
        </w:rPr>
        <w:t>utazási számmal</w:t>
      </w:r>
      <w:r w:rsidRPr="008E4FA5">
        <w:rPr>
          <w:rFonts w:ascii="Times New Roman" w:eastAsia="Times New Roman" w:hAnsi="Times New Roman" w:cs="Times New Roman"/>
          <w:sz w:val="24"/>
          <w:szCs w:val="24"/>
        </w:rPr>
        <w:t xml:space="preserve"> jár együtt, míg gazdasági visszaesések esetén mind a vasúti, mind a légi utasforgalom csökken.</w:t>
      </w:r>
    </w:p>
    <w:p w14:paraId="011CD25D" w14:textId="4F8BF387" w:rsidR="008E4FA5" w:rsidRPr="008E4FA5" w:rsidRDefault="00636A31" w:rsidP="008E4F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elemzésem során a 2004 első negyedév és a 2025 második negyedév között olaszországi vasúti közlekedés számát </w:t>
      </w:r>
      <w:r w:rsidR="00C010CA">
        <w:rPr>
          <w:rFonts w:ascii="Times New Roman" w:eastAsia="Times New Roman" w:hAnsi="Times New Roman" w:cs="Times New Roman"/>
          <w:sz w:val="24"/>
          <w:szCs w:val="24"/>
        </w:rPr>
        <w:t>vetem össze a légi közlekedés utasszámával és a fogyasztással az Eurostat hivatalos adatai alapján</w:t>
      </w:r>
      <w:r w:rsidR="008E4FA5" w:rsidRPr="008E4FA5">
        <w:rPr>
          <w:rFonts w:ascii="Times New Roman" w:eastAsia="Times New Roman" w:hAnsi="Times New Roman" w:cs="Times New Roman"/>
          <w:sz w:val="24"/>
          <w:szCs w:val="24"/>
        </w:rPr>
        <w:t>.</w:t>
      </w:r>
      <w:r w:rsidR="00C010CA">
        <w:rPr>
          <w:rFonts w:ascii="Times New Roman" w:eastAsia="Times New Roman" w:hAnsi="Times New Roman" w:cs="Times New Roman"/>
          <w:sz w:val="24"/>
          <w:szCs w:val="24"/>
        </w:rPr>
        <w:t xml:space="preserve"> Célom, hogy kiderítsem az említett adatok közötti kapcsolatot, ami a tendenciákat magyarázza. A kutatás során idősoros ökonometriai módszerekkel igyekszem kezelni a szezonalitást és Var modell segítségével igyekszek képet adni a vasúti közlekedés dinamikájáról.</w:t>
      </w:r>
      <w:r w:rsidR="00D45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0E709A" w14:textId="77777777" w:rsidR="00FD5976" w:rsidRDefault="00FD5976" w:rsidP="008E4F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B45A0E" w14:textId="26B63465" w:rsidR="1D9C5660" w:rsidRPr="00A6709D" w:rsidRDefault="1D9C5660" w:rsidP="00A6709D">
      <w:pPr>
        <w:pStyle w:val="Cmsor1"/>
        <w:ind w:left="284"/>
      </w:pPr>
      <w:bookmarkStart w:id="1" w:name="_Toc199272883"/>
      <w:r w:rsidRPr="00A6709D">
        <w:t>Adatok bemutatása</w:t>
      </w:r>
      <w:bookmarkEnd w:id="1"/>
    </w:p>
    <w:p w14:paraId="0EB4A8ED" w14:textId="1AAEC9C2" w:rsidR="006D30BB" w:rsidRDefault="006D30BB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30BB">
        <w:rPr>
          <w:rFonts w:ascii="Times New Roman" w:eastAsia="Times New Roman" w:hAnsi="Times New Roman" w:cs="Times New Roman"/>
          <w:sz w:val="24"/>
          <w:szCs w:val="24"/>
        </w:rPr>
        <w:t>A vizsgálat célja az olasz vasúti utasforgalom dinamikus meghatározóinak feltárása. A vasúti utasszám idősora volt az elemzés kiindulópontja, ehhez két további, negyedéves felbontású makrogazdasági és közlekedési időso</w:t>
      </w:r>
      <w:r w:rsidRPr="00FD5976">
        <w:rPr>
          <w:rFonts w:ascii="Times New Roman" w:eastAsia="Times New Roman" w:hAnsi="Times New Roman" w:cs="Times New Roman"/>
          <w:sz w:val="24"/>
          <w:szCs w:val="24"/>
        </w:rPr>
        <w:t>rt választottam</w:t>
      </w:r>
      <w:r w:rsidRPr="006D30BB">
        <w:rPr>
          <w:rFonts w:ascii="Times New Roman" w:eastAsia="Times New Roman" w:hAnsi="Times New Roman" w:cs="Times New Roman"/>
          <w:sz w:val="24"/>
          <w:szCs w:val="24"/>
        </w:rPr>
        <w:t>: a légi utasforgalom és a háztartások végső fogyasztási kiadása.</w:t>
      </w:r>
    </w:p>
    <w:p w14:paraId="4460C933" w14:textId="77777777" w:rsidR="00CB4CBA" w:rsidRDefault="00CB4CBA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CBBD03" w14:textId="77777777" w:rsidR="00CB4CBA" w:rsidRDefault="00CB4CBA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69F47" w14:textId="77777777" w:rsidR="00CB4CBA" w:rsidRDefault="00CB4CBA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8E1A2E" w14:textId="2AFA1FD7" w:rsidR="00EC0759" w:rsidRPr="00EC0759" w:rsidRDefault="00EC0759" w:rsidP="00EC0759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lastRenderedPageBreak/>
        <w:t xml:space="preserve">Ábra: </w:t>
      </w:r>
      <w:r w:rsidRPr="00EC0759">
        <w:rPr>
          <w:rFonts w:ascii="Times New Roman" w:hAnsi="Times New Roman" w:cs="Times New Roman"/>
          <w:i/>
          <w:iCs/>
          <w:sz w:val="20"/>
          <w:szCs w:val="20"/>
        </w:rPr>
        <w:t xml:space="preserve">A vasúti utaskilométerek alakulása Olaszországban (2004–2025)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1230F627" w14:textId="5E58936C" w:rsidR="00FD5976" w:rsidRPr="006D30BB" w:rsidRDefault="00EC0759" w:rsidP="00FD597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A87F95" wp14:editId="75C43050">
            <wp:extent cx="4569761" cy="2520000"/>
            <wp:effectExtent l="19050" t="19050" r="21590" b="13970"/>
            <wp:docPr id="17561556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61" cy="252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150BB" w14:textId="3683DD52" w:rsidR="006D30BB" w:rsidRDefault="006D30BB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30BB">
        <w:rPr>
          <w:rFonts w:ascii="Times New Roman" w:eastAsia="Times New Roman" w:hAnsi="Times New Roman" w:cs="Times New Roman"/>
          <w:sz w:val="24"/>
          <w:szCs w:val="24"/>
        </w:rPr>
        <w:t xml:space="preserve">A légi utasforgalom jól tükrözi a vasút és a repülés közötti versenyt. Olaszországban különösen a nagysebességű vasút térnyerése miatt fontos megérteni, hogyan változik a két közlekedési mód kereslete egymáshoz képest. A légi utasforgalom így a vasúttal való helyettesítés, illetve </w:t>
      </w:r>
      <w:r w:rsidRPr="00FD5976">
        <w:rPr>
          <w:rFonts w:ascii="Times New Roman" w:eastAsia="Times New Roman" w:hAnsi="Times New Roman" w:cs="Times New Roman"/>
          <w:sz w:val="24"/>
          <w:szCs w:val="24"/>
        </w:rPr>
        <w:t>sokszor egymás kiegészítői, így kapcsolatuk kihagyhatatlan ezen elemzésből</w:t>
      </w:r>
      <w:r w:rsidRPr="006D30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BB034" w14:textId="33C29CD7" w:rsidR="00EC0759" w:rsidRPr="00EC0759" w:rsidRDefault="00EC0759" w:rsidP="00EC0759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 xml:space="preserve">Ábra: </w:t>
      </w:r>
      <w:r w:rsidRPr="00EC0759">
        <w:rPr>
          <w:rFonts w:ascii="Times New Roman" w:hAnsi="Times New Roman" w:cs="Times New Roman"/>
          <w:i/>
          <w:iCs/>
          <w:sz w:val="20"/>
          <w:szCs w:val="20"/>
        </w:rPr>
        <w:t xml:space="preserve">A légi utasforgalom alakulása Olaszországban (2004–2025)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45C58BCD" w14:textId="5FE78BAD" w:rsidR="00EC0759" w:rsidRPr="006D30BB" w:rsidRDefault="00EC0759" w:rsidP="00EC07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EC6957" wp14:editId="4FA1D1CB">
            <wp:extent cx="4569761" cy="2520000"/>
            <wp:effectExtent l="19050" t="19050" r="21590" b="13970"/>
            <wp:docPr id="739764861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61" cy="252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2FE75" w14:textId="4E4ECF0D" w:rsidR="006D30BB" w:rsidRDefault="006D30BB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30BB">
        <w:rPr>
          <w:rFonts w:ascii="Times New Roman" w:eastAsia="Times New Roman" w:hAnsi="Times New Roman" w:cs="Times New Roman"/>
          <w:sz w:val="24"/>
          <w:szCs w:val="24"/>
        </w:rPr>
        <w:t xml:space="preserve">A háztartási fogyasztás a gazdasági aktivitás általános szintjét mutatja. Mivel az utazás részben </w:t>
      </w:r>
      <w:r w:rsidR="00FD5976" w:rsidRPr="00FD5976">
        <w:rPr>
          <w:rFonts w:ascii="Times New Roman" w:eastAsia="Times New Roman" w:hAnsi="Times New Roman" w:cs="Times New Roman"/>
          <w:sz w:val="24"/>
          <w:szCs w:val="24"/>
        </w:rPr>
        <w:t>szabadon választható</w:t>
      </w:r>
      <w:r w:rsidRPr="006D30BB">
        <w:rPr>
          <w:rFonts w:ascii="Times New Roman" w:eastAsia="Times New Roman" w:hAnsi="Times New Roman" w:cs="Times New Roman"/>
          <w:sz w:val="24"/>
          <w:szCs w:val="24"/>
        </w:rPr>
        <w:t xml:space="preserve"> kiadásnak számít, a fogyasztás növekedése jellemzően magasabb mobilitási igényt és több vasúti utazást eredményez. Ezért a fogyasztási idősor makrogazdasági háttérváltozóként segít elkülöníteni, hogy a vasúti kereslet változásai mennyiben </w:t>
      </w:r>
      <w:r w:rsidRPr="006D30BB">
        <w:rPr>
          <w:rFonts w:ascii="Times New Roman" w:eastAsia="Times New Roman" w:hAnsi="Times New Roman" w:cs="Times New Roman"/>
          <w:sz w:val="24"/>
          <w:szCs w:val="24"/>
        </w:rPr>
        <w:lastRenderedPageBreak/>
        <w:t>magyarázhatók ciklikus tényezőkkel, illetve mennyiben a közlekedési módok közötti átrendeződéssel.</w:t>
      </w:r>
    </w:p>
    <w:p w14:paraId="4F42B2BA" w14:textId="4CCF6223" w:rsidR="00EC0759" w:rsidRPr="00EC0759" w:rsidRDefault="00EC0759" w:rsidP="00EC0759">
      <w:pPr>
        <w:pStyle w:val="Listaszerbekezds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 xml:space="preserve">Ábra: </w:t>
      </w:r>
      <w:r w:rsidRPr="00EC0759">
        <w:rPr>
          <w:rFonts w:ascii="Times New Roman" w:hAnsi="Times New Roman" w:cs="Times New Roman"/>
          <w:i/>
          <w:iCs/>
          <w:sz w:val="20"/>
          <w:szCs w:val="20"/>
        </w:rPr>
        <w:t xml:space="preserve">A háztartási fogyasztás alakulása Olaszországban (2004–2025)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5114C5F1" w14:textId="4F5A1E21" w:rsidR="00EC0759" w:rsidRPr="006D30BB" w:rsidRDefault="00EC0759" w:rsidP="00EC0759">
      <w:pPr>
        <w:pStyle w:val="Listaszerbekezds"/>
        <w:ind w:left="360" w:firstLine="34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B30088" wp14:editId="30CFE8A6">
            <wp:extent cx="4569761" cy="2520000"/>
            <wp:effectExtent l="19050" t="19050" r="21590" b="13970"/>
            <wp:docPr id="58988905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61" cy="252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8B741" w14:textId="77777777" w:rsidR="006D30BB" w:rsidRDefault="006D30BB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30BB">
        <w:rPr>
          <w:rFonts w:ascii="Times New Roman" w:eastAsia="Times New Roman" w:hAnsi="Times New Roman" w:cs="Times New Roman"/>
          <w:sz w:val="24"/>
          <w:szCs w:val="24"/>
        </w:rPr>
        <w:t>A három idősor együttes vizsgálata így lehetővé teszi, hogy a vasúti utasforgalom alakulását egyszerre értékeljem gazdasági, valamint közlekedési-verseny szempontból is.</w:t>
      </w:r>
    </w:p>
    <w:p w14:paraId="3DF61460" w14:textId="77777777" w:rsidR="00B059D8" w:rsidRPr="006D30BB" w:rsidRDefault="00B059D8" w:rsidP="006D30B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078E6" w14:textId="25583860" w:rsidR="00BE4058" w:rsidRDefault="00BE4058" w:rsidP="00BE4058">
      <w:pPr>
        <w:pStyle w:val="Cmsor1"/>
        <w:ind w:left="284"/>
      </w:pPr>
      <w:r>
        <w:t>Modellezés</w:t>
      </w:r>
    </w:p>
    <w:p w14:paraId="3AD9EF6F" w14:textId="104E4763" w:rsidR="00BE4058" w:rsidRPr="00BE4058" w:rsidRDefault="00BE4058" w:rsidP="00BE4058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BE4058">
        <w:rPr>
          <w:rFonts w:ascii="Times New Roman" w:hAnsi="Times New Roman" w:cs="Times New Roman"/>
          <w:sz w:val="24"/>
          <w:szCs w:val="24"/>
        </w:rPr>
        <w:t xml:space="preserve">A vasúti utasforgalom, a légi közlekedés és a háztartási fogyasztás közötti dinamikus kapcsolatok feltárása többváltozós idősoros megközelítést igényel. Mivel ezek a változók egymásra hatva, időben késleltetetten fejthetik ki hatásukat, a vizsgálathoz </w:t>
      </w:r>
      <w:proofErr w:type="spellStart"/>
      <w:r w:rsidRPr="00BE4058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B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058">
        <w:rPr>
          <w:rFonts w:ascii="Times New Roman" w:hAnsi="Times New Roman" w:cs="Times New Roman"/>
          <w:sz w:val="24"/>
          <w:szCs w:val="24"/>
        </w:rPr>
        <w:t>Autoregression</w:t>
      </w:r>
      <w:proofErr w:type="spellEnd"/>
      <w:r w:rsidRPr="00BE4058">
        <w:rPr>
          <w:rFonts w:ascii="Times New Roman" w:hAnsi="Times New Roman" w:cs="Times New Roman"/>
          <w:sz w:val="24"/>
          <w:szCs w:val="24"/>
        </w:rPr>
        <w:t xml:space="preserve"> (VAR) modellt alkalmazok. A VAR-modell előnye, hogy minden változót endogénként kezel, és lehetővé teszi a kölcsönös visszacsatolások elemzését Granger-okozatisággal</w:t>
      </w:r>
      <w:r w:rsidR="002C790E">
        <w:rPr>
          <w:rFonts w:ascii="Times New Roman" w:hAnsi="Times New Roman" w:cs="Times New Roman"/>
          <w:sz w:val="24"/>
          <w:szCs w:val="24"/>
        </w:rPr>
        <w:t xml:space="preserve"> és</w:t>
      </w:r>
      <w:r w:rsidRPr="00BE4058">
        <w:rPr>
          <w:rFonts w:ascii="Times New Roman" w:hAnsi="Times New Roman" w:cs="Times New Roman"/>
          <w:sz w:val="24"/>
          <w:szCs w:val="24"/>
        </w:rPr>
        <w:t xml:space="preserve"> impulzus-válaszfüggvényekkel.</w:t>
      </w:r>
    </w:p>
    <w:p w14:paraId="55C35096" w14:textId="77777777" w:rsidR="00BE4058" w:rsidRPr="00BE4058" w:rsidRDefault="00BE4058" w:rsidP="00BE4058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7C0B3FD" w14:textId="0D1AEA68" w:rsidR="00BE4058" w:rsidRDefault="00BE4058" w:rsidP="00BE4058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BE4058">
        <w:rPr>
          <w:rFonts w:ascii="Times New Roman" w:hAnsi="Times New Roman" w:cs="Times New Roman"/>
          <w:sz w:val="24"/>
          <w:szCs w:val="24"/>
        </w:rPr>
        <w:t>A VAR-modell illesztésének azonban elengedhetetlen előfeltétele a megfelelően előkészített idősor. Mivel mindhárom vizsgált változó negyedéves frekvenciájú, és jellegzetesen erős szezonalitást mutat, első lépésként elvégeztem az idősorok szezonális kiigazítását. Ehhez STL-</w:t>
      </w:r>
      <w:proofErr w:type="spellStart"/>
      <w:r w:rsidRPr="00BE4058">
        <w:rPr>
          <w:rFonts w:ascii="Times New Roman" w:hAnsi="Times New Roman" w:cs="Times New Roman"/>
          <w:sz w:val="24"/>
          <w:szCs w:val="24"/>
        </w:rPr>
        <w:t>dekompozíciót</w:t>
      </w:r>
      <w:proofErr w:type="spellEnd"/>
      <w:r w:rsidRPr="00BE4058">
        <w:rPr>
          <w:rFonts w:ascii="Times New Roman" w:hAnsi="Times New Roman" w:cs="Times New Roman"/>
          <w:sz w:val="24"/>
          <w:szCs w:val="24"/>
        </w:rPr>
        <w:t xml:space="preserve"> alkalmaztam, amely additív módon bontja az idősorokat trend-, szezonális- és </w:t>
      </w:r>
      <w:proofErr w:type="spellStart"/>
      <w:r w:rsidRPr="00BE4058">
        <w:rPr>
          <w:rFonts w:ascii="Times New Roman" w:hAnsi="Times New Roman" w:cs="Times New Roman"/>
          <w:sz w:val="24"/>
          <w:szCs w:val="24"/>
        </w:rPr>
        <w:t>reziduális</w:t>
      </w:r>
      <w:proofErr w:type="spellEnd"/>
      <w:r w:rsidRPr="00BE4058">
        <w:rPr>
          <w:rFonts w:ascii="Times New Roman" w:hAnsi="Times New Roman" w:cs="Times New Roman"/>
          <w:sz w:val="24"/>
          <w:szCs w:val="24"/>
        </w:rPr>
        <w:t xml:space="preserve"> komponensekre. A szezonális komponens eltávolítása után megkaptam a szezonálisan kiigazított vasúti utaskilométer-, légi utasforgalom- és fogyasztási sorokat, amelyek már jobban alkalmasak a gazdasági trendek és dinamikus hatások elemzésére.</w:t>
      </w:r>
    </w:p>
    <w:p w14:paraId="43B5A609" w14:textId="5FA19345" w:rsidR="00E71724" w:rsidRPr="00E71724" w:rsidRDefault="00E71724" w:rsidP="00E7172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71724">
        <w:rPr>
          <w:rFonts w:ascii="Times New Roman" w:hAnsi="Times New Roman" w:cs="Times New Roman"/>
          <w:sz w:val="24"/>
          <w:szCs w:val="24"/>
        </w:rPr>
        <w:lastRenderedPageBreak/>
        <w:t xml:space="preserve">A szezonális komponensek eltávolítása után a következő lépés a VAR-modellhez szükséges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stacionaritás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 xml:space="preserve"> biztosítása. A stacioneritás azért kritikus, mert a VAR-modell csak olyan idősorokon alkalmazható, amelyeknek a várható értéke és varianciája időben állandó, ellenkező esetben a modell paraméterei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torzak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>, az impulzus-válaszfüggvények pedig félrevezetők lennének.</w:t>
      </w:r>
    </w:p>
    <w:p w14:paraId="2C490634" w14:textId="4E38CE4B" w:rsidR="00E71724" w:rsidRPr="00E71724" w:rsidRDefault="00E71724" w:rsidP="00E7172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71724">
        <w:rPr>
          <w:rFonts w:ascii="Times New Roman" w:hAnsi="Times New Roman" w:cs="Times New Roman"/>
          <w:sz w:val="24"/>
          <w:szCs w:val="24"/>
        </w:rPr>
        <w:t xml:space="preserve">A három vizsgált idősor – vasúti utaskilométer, légi utasforgalom és fogyasztás – </w:t>
      </w:r>
      <w:r>
        <w:rPr>
          <w:rFonts w:ascii="Times New Roman" w:hAnsi="Times New Roman" w:cs="Times New Roman"/>
          <w:sz w:val="24"/>
          <w:szCs w:val="24"/>
        </w:rPr>
        <w:t>adatain</w:t>
      </w:r>
      <w:r w:rsidRPr="00E71724">
        <w:rPr>
          <w:rFonts w:ascii="Times New Roman" w:hAnsi="Times New Roman" w:cs="Times New Roman"/>
          <w:sz w:val="24"/>
          <w:szCs w:val="24"/>
        </w:rPr>
        <w:t xml:space="preserve"> szemmel is jól látható trendkomponensek figyelhetők meg, ezért első differenciálást alkalmaztam mindhárom esetben. A differenciálás a sorok időbeli változását emeli ki, miközben eltünteti a determinisztikus trendet, így jelentősen közelebb viszi az adatsorokat a stacioneritáshoz.</w:t>
      </w:r>
    </w:p>
    <w:p w14:paraId="29F52AEB" w14:textId="161C1405" w:rsidR="00E71724" w:rsidRPr="00E71724" w:rsidRDefault="00E71724" w:rsidP="00E7172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71724">
        <w:rPr>
          <w:rFonts w:ascii="Times New Roman" w:hAnsi="Times New Roman" w:cs="Times New Roman"/>
          <w:sz w:val="24"/>
          <w:szCs w:val="24"/>
        </w:rPr>
        <w:t xml:space="preserve">A differenciált sorok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stacionaritását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Augmented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Dickey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Fuller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 xml:space="preserve"> (ADF) teszttel vizsgáltam meg. Mindhárom sor esetében a teszt szignifikáns eredményt adott (α = 5% mellett), tehát a nullhipotézis — amely szerint a sor egységgyököt tartalmaz — elutasítható. Ennek alapján kijelenthető, hogy a differenciált vasúti, légi és fogyasztási idősorok stacionerek, így alkalmasak a VAR-modell becslésére.</w:t>
      </w:r>
    </w:p>
    <w:p w14:paraId="47800A68" w14:textId="6098C3EF" w:rsidR="00E71724" w:rsidRDefault="00E71724" w:rsidP="00E7172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71724">
        <w:rPr>
          <w:rFonts w:ascii="Times New Roman" w:hAnsi="Times New Roman" w:cs="Times New Roman"/>
          <w:sz w:val="24"/>
          <w:szCs w:val="24"/>
        </w:rPr>
        <w:t>A szezonálisan kiigazított és differenciált adatok biztosítják, hogy a modellben szereplő változók ne tartalmazzanak egységgyököt vagy trendet, ami megbízható dinamikus kapcsolatok feltárását teszi lehetővé a későbbi modellépítés során.</w:t>
      </w:r>
    </w:p>
    <w:p w14:paraId="3CD78163" w14:textId="23F08B51" w:rsidR="00E71724" w:rsidRDefault="00E71724" w:rsidP="00E7172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71724">
        <w:rPr>
          <w:rFonts w:ascii="Times New Roman" w:hAnsi="Times New Roman" w:cs="Times New Roman"/>
          <w:sz w:val="24"/>
          <w:szCs w:val="24"/>
        </w:rPr>
        <w:t xml:space="preserve">A VAR-modell specifikációjának egyik legfontosabb lépése az optimális késleltetési hossz (k) meghatározása, mivel a túl rövid késleltetés információvesztéshez és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autokorrelált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reziduumokhoz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 xml:space="preserve"> vezethet, míg a túl hosszú késleltetés feleslegesen sok paramétert von be, ami a modell túlillesztését eredményezi. A késleltetés kiválasztását a szezonálisan kiigazított és differenciált idősorokon végeztem el a </w:t>
      </w:r>
      <w:proofErr w:type="spellStart"/>
      <w:proofErr w:type="gramStart"/>
      <w:r w:rsidRPr="00E71724">
        <w:rPr>
          <w:rFonts w:ascii="Times New Roman" w:hAnsi="Times New Roman" w:cs="Times New Roman"/>
          <w:sz w:val="24"/>
          <w:szCs w:val="24"/>
        </w:rPr>
        <w:t>VARselect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1724">
        <w:rPr>
          <w:rFonts w:ascii="Times New Roman" w:hAnsi="Times New Roman" w:cs="Times New Roman"/>
          <w:sz w:val="24"/>
          <w:szCs w:val="24"/>
        </w:rPr>
        <w:t xml:space="preserve">) függvény segítségével, amely több információs kritériumot (AIC, HQ, SC/BIC, FPE) számol. A különböző kritériumok közül a </w:t>
      </w:r>
      <w:proofErr w:type="spellStart"/>
      <w:r w:rsidRPr="00E71724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E71724">
        <w:rPr>
          <w:rFonts w:ascii="Times New Roman" w:hAnsi="Times New Roman" w:cs="Times New Roman"/>
          <w:sz w:val="24"/>
          <w:szCs w:val="24"/>
        </w:rPr>
        <w:t>-féle információs kritériumot (BIC) tekintettem irányadónak, mivel ez erősen bünteti a f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71724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71724">
        <w:rPr>
          <w:rFonts w:ascii="Times New Roman" w:hAnsi="Times New Roman" w:cs="Times New Roman"/>
          <w:sz w:val="24"/>
          <w:szCs w:val="24"/>
        </w:rPr>
        <w:t>sleges paraméterek bevonását. A BIC eredményei alapján a legmegfelelőbb késleltetés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E71724">
        <w:rPr>
          <w:rFonts w:ascii="Times New Roman" w:hAnsi="Times New Roman" w:cs="Times New Roman"/>
          <w:sz w:val="24"/>
          <w:szCs w:val="24"/>
        </w:rPr>
        <w:t xml:space="preserve"> k = 4, ezért a továbbiakban a </w:t>
      </w:r>
      <w:proofErr w:type="gramStart"/>
      <w:r w:rsidRPr="00E71724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E71724">
        <w:rPr>
          <w:rFonts w:ascii="Times New Roman" w:hAnsi="Times New Roman" w:cs="Times New Roman"/>
          <w:sz w:val="24"/>
          <w:szCs w:val="24"/>
        </w:rPr>
        <w:t>4) modellt alkalmazom az endogén változók közötti dinamikus kapcsolatok elemzésére.</w:t>
      </w:r>
    </w:p>
    <w:p w14:paraId="02E11807" w14:textId="648C49DB" w:rsidR="00BC5BA5" w:rsidRPr="00BC5BA5" w:rsidRDefault="00BC5BA5" w:rsidP="00BC5BA5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BC5BA5">
        <w:rPr>
          <w:rFonts w:ascii="Times New Roman" w:hAnsi="Times New Roman" w:cs="Times New Roman"/>
          <w:sz w:val="24"/>
          <w:szCs w:val="24"/>
        </w:rPr>
        <w:t xml:space="preserve">A késleltetés kiválasztását követően elvégeztem a </w:t>
      </w:r>
      <w:proofErr w:type="gramStart"/>
      <w:r w:rsidRPr="00BC5BA5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BC5BA5">
        <w:rPr>
          <w:rFonts w:ascii="Times New Roman" w:hAnsi="Times New Roman" w:cs="Times New Roman"/>
          <w:sz w:val="24"/>
          <w:szCs w:val="24"/>
        </w:rPr>
        <w:t>4) modell becslését a három differenciált és szezonálisan kiigazított idősor felhasználásával. A becsült modell stabilitását elsőként az egységgyökök vizsgálatával ellenőriztem. A gyökök komplex síkon elhelyezkedő abszolút értékei mind 1 alatt maradtak, a legnagyobb is 0,88 körül alakult, ami azt jelzi, hogy a modell stabil, és az impulzusválaszok időben lecsengő viselkedést mutatnak majd.</w:t>
      </w:r>
    </w:p>
    <w:p w14:paraId="52706FF5" w14:textId="14A8D4EE" w:rsidR="00BC5BA5" w:rsidRPr="00BC5BA5" w:rsidRDefault="00BC5BA5" w:rsidP="00BC5BA5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BC5BA5">
        <w:rPr>
          <w:rFonts w:ascii="Times New Roman" w:hAnsi="Times New Roman" w:cs="Times New Roman"/>
          <w:sz w:val="24"/>
          <w:szCs w:val="24"/>
        </w:rPr>
        <w:lastRenderedPageBreak/>
        <w:t xml:space="preserve">A modell illeszkedését ezt követően a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reziduumokra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 végzett diagnosztikai tesztekkel vizsgáltam. A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Portmanteau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>-teszt (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serial.test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) alapján a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reziduumok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 együttesen nem mutatnak szignifikáns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autokorrelációt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, tehát a hibatagok összességében fehérzajnak tekinthetők, ami a VAR-modell egyik alapvető követelménye. A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reziduumok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változónkénti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 vizsgálatához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Breusch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Godfrey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-tesztet alkalmaztam 12 késleltetéssel. A </w:t>
      </w:r>
      <w:r>
        <w:rPr>
          <w:rFonts w:ascii="Times New Roman" w:hAnsi="Times New Roman" w:cs="Times New Roman"/>
          <w:sz w:val="24"/>
          <w:szCs w:val="24"/>
        </w:rPr>
        <w:t>vasút</w:t>
      </w:r>
      <w:r w:rsidRPr="00BC5BA5">
        <w:rPr>
          <w:rFonts w:ascii="Times New Roman" w:hAnsi="Times New Roman" w:cs="Times New Roman"/>
          <w:sz w:val="24"/>
          <w:szCs w:val="24"/>
        </w:rPr>
        <w:t xml:space="preserve"> és </w:t>
      </w:r>
      <w:r>
        <w:rPr>
          <w:rFonts w:ascii="Times New Roman" w:hAnsi="Times New Roman" w:cs="Times New Roman"/>
          <w:sz w:val="24"/>
          <w:szCs w:val="24"/>
        </w:rPr>
        <w:t xml:space="preserve">a légi közlekedés </w:t>
      </w:r>
      <w:r w:rsidRPr="00BC5BA5">
        <w:rPr>
          <w:rFonts w:ascii="Times New Roman" w:hAnsi="Times New Roman" w:cs="Times New Roman"/>
          <w:sz w:val="24"/>
          <w:szCs w:val="24"/>
        </w:rPr>
        <w:t xml:space="preserve">esetében már 10%-os szignifikanciaszinten is elfogadható a nullhipotézis, vagyis a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reziduumok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 nem tartalmaznak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autokorrelációt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. A </w:t>
      </w:r>
      <w:r>
        <w:rPr>
          <w:rFonts w:ascii="Times New Roman" w:hAnsi="Times New Roman" w:cs="Times New Roman"/>
          <w:sz w:val="24"/>
          <w:szCs w:val="24"/>
        </w:rPr>
        <w:t>fogyasztás</w:t>
      </w:r>
      <w:r w:rsidRPr="00BC5BA5">
        <w:rPr>
          <w:rFonts w:ascii="Times New Roman" w:hAnsi="Times New Roman" w:cs="Times New Roman"/>
          <w:sz w:val="24"/>
          <w:szCs w:val="24"/>
        </w:rPr>
        <w:t xml:space="preserve"> esetében</w:t>
      </w:r>
      <w:r>
        <w:rPr>
          <w:rFonts w:ascii="Times New Roman" w:hAnsi="Times New Roman" w:cs="Times New Roman"/>
          <w:sz w:val="24"/>
          <w:szCs w:val="24"/>
        </w:rPr>
        <w:t xml:space="preserve"> viszont</w:t>
      </w:r>
      <w:r w:rsidRPr="00BC5BA5">
        <w:rPr>
          <w:rFonts w:ascii="Times New Roman" w:hAnsi="Times New Roman" w:cs="Times New Roman"/>
          <w:sz w:val="24"/>
          <w:szCs w:val="24"/>
        </w:rPr>
        <w:t xml:space="preserve"> a H₀ csak szigorúbb, 1%-os szignifikanciaszint mellett fogadható el, ám így is kijelenthető, hogy a </w:t>
      </w:r>
      <w:proofErr w:type="spellStart"/>
      <w:r w:rsidRPr="00BC5BA5">
        <w:rPr>
          <w:rFonts w:ascii="Times New Roman" w:hAnsi="Times New Roman" w:cs="Times New Roman"/>
          <w:sz w:val="24"/>
          <w:szCs w:val="24"/>
        </w:rPr>
        <w:t>reziduumok</w:t>
      </w:r>
      <w:proofErr w:type="spellEnd"/>
      <w:r w:rsidRPr="00BC5BA5">
        <w:rPr>
          <w:rFonts w:ascii="Times New Roman" w:hAnsi="Times New Roman" w:cs="Times New Roman"/>
          <w:sz w:val="24"/>
          <w:szCs w:val="24"/>
        </w:rPr>
        <w:t xml:space="preserve"> külön-külön is megfelelnek a fehérzaj feltételnek.</w:t>
      </w:r>
    </w:p>
    <w:p w14:paraId="0CEB91B8" w14:textId="3AAA5A69" w:rsidR="006E4954" w:rsidRPr="006E4954" w:rsidRDefault="006E4954" w:rsidP="00C8580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E4954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6E4954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6E4954">
        <w:rPr>
          <w:rFonts w:ascii="Times New Roman" w:hAnsi="Times New Roman" w:cs="Times New Roman"/>
          <w:sz w:val="24"/>
          <w:szCs w:val="24"/>
        </w:rPr>
        <w:t xml:space="preserve">4) modell becslése után a változók közötti dinamikus kapcsolatok irányát Granger-okozatisági tesztekkel vizsgáltam. A Granger-okság lényege, hogy egy változó múltbeli értékei akkor tekinthetők másik változó „okozójának”, ha szignifikánsan javítják annak előrejelzését a modellben. Ennek ellenőrzésére a VAR-egyenletekben szereplő késleltetett együtthatók együttes zéró voltára vonatkozó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Wald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>-teszteket alkalmaztam. A tesztelés során a nullhipotézis minden esetben az volt, hogy az adott magyarázó változó összes késleltetése nem gyakorol hatást a vizsgált változó aktuális értékére.</w:t>
      </w:r>
    </w:p>
    <w:p w14:paraId="323FD588" w14:textId="345B2F55" w:rsidR="006E4954" w:rsidRPr="006E4954" w:rsidRDefault="006E4954" w:rsidP="00C8580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E4954">
        <w:rPr>
          <w:rFonts w:ascii="Times New Roman" w:hAnsi="Times New Roman" w:cs="Times New Roman"/>
          <w:sz w:val="24"/>
          <w:szCs w:val="24"/>
        </w:rPr>
        <w:t>Először azt vizsgáltam, hogy a légi utasforgalom változásai (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d_air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>) hatást gyakorolnak-e a vasúti utaskilométerek változására (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d_train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). A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d_train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 egyenletben a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d_air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 késleltetéseire elvégzett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Wald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>-teszt magas p-értéket eredményezett, ezért a nullhipotézist elfogadtam. Ez alapján megállapítható, hogy nem mutatható ki Granger-okozás a légi utasforgalom felől a vasúti kereslet irányába.</w:t>
      </w:r>
    </w:p>
    <w:p w14:paraId="5FF4607A" w14:textId="2933AAC5" w:rsidR="006E4954" w:rsidRPr="006E4954" w:rsidRDefault="006E4954" w:rsidP="00C8580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E4954">
        <w:rPr>
          <w:rFonts w:ascii="Times New Roman" w:hAnsi="Times New Roman" w:cs="Times New Roman"/>
          <w:sz w:val="24"/>
          <w:szCs w:val="24"/>
        </w:rPr>
        <w:t xml:space="preserve">Ezt követően a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d_air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 egyenletben a háztartási fogyasztás (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d_cons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) késleltetéseit vizsgáltam. A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Wald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>-teszt 5%-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nál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 kisebb p-értéket adott, ezért a nullhipotézist elutasítottam. Ez azt jelenti, hogy a fogyasztás múltbeli változásai számottevően javítják a légi utasforgalom előrejelzését, így a fogyasztás Granger-értelemben okozza a légi utasforgalmat. Végül a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d_cons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 egyenletben a </w:t>
      </w:r>
      <w:proofErr w:type="spellStart"/>
      <w:r w:rsidRPr="006E4954">
        <w:rPr>
          <w:rFonts w:ascii="Times New Roman" w:hAnsi="Times New Roman" w:cs="Times New Roman"/>
          <w:sz w:val="24"/>
          <w:szCs w:val="24"/>
        </w:rPr>
        <w:t>d_air</w:t>
      </w:r>
      <w:proofErr w:type="spellEnd"/>
      <w:r w:rsidRPr="006E4954">
        <w:rPr>
          <w:rFonts w:ascii="Times New Roman" w:hAnsi="Times New Roman" w:cs="Times New Roman"/>
          <w:sz w:val="24"/>
          <w:szCs w:val="24"/>
        </w:rPr>
        <w:t xml:space="preserve"> késleltetéseire kapott eredmények alapján a nullhipotézis nem utasítható el, tehát a légi utasforgalom nem mutat okozati hatást a fogyasztásra.</w:t>
      </w:r>
    </w:p>
    <w:p w14:paraId="2E215275" w14:textId="3D26138B" w:rsidR="00E71724" w:rsidRDefault="006E4954" w:rsidP="006E495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E4954">
        <w:rPr>
          <w:rFonts w:ascii="Times New Roman" w:hAnsi="Times New Roman" w:cs="Times New Roman"/>
          <w:sz w:val="24"/>
          <w:szCs w:val="24"/>
        </w:rPr>
        <w:t>Összességében az eredmények azt mutatják, hogy a vizsgált időszakban a háztartási fogyasztás egyirányú, statisztikailag kimutatható hatást gyakorolt a légi közlekedésre, míg a vasúti és légi szegmens között nem azonosítható Granger-okozatiság a választott specifikáció mellett.</w:t>
      </w:r>
    </w:p>
    <w:p w14:paraId="7F831A75" w14:textId="77777777" w:rsidR="005B76E0" w:rsidRDefault="005B76E0" w:rsidP="006E4954">
      <w:pPr>
        <w:spacing w:after="0"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8496943" w14:textId="77777777" w:rsidR="005B76E0" w:rsidRDefault="005B76E0" w:rsidP="006E4954">
      <w:pPr>
        <w:spacing w:after="0"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1D4E209" w14:textId="77777777" w:rsidR="005B76E0" w:rsidRDefault="005B76E0" w:rsidP="00B059D8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027A6BE" w14:textId="75925EB2" w:rsidR="005B76E0" w:rsidRPr="005B76E0" w:rsidRDefault="005B76E0" w:rsidP="005B76E0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lastRenderedPageBreak/>
        <w:t xml:space="preserve">Ábra: </w:t>
      </w:r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>Impulzus–válaszfüggvények a vizsgált változók között (</w:t>
      </w:r>
      <w:proofErr w:type="gramStart"/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>VAR(</w:t>
      </w:r>
      <w:proofErr w:type="gramEnd"/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 xml:space="preserve">4) modell)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5D3D6D8C" w14:textId="639AE4D3" w:rsidR="005B76E0" w:rsidRDefault="005B76E0" w:rsidP="006E495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40EA56" wp14:editId="530081DB">
            <wp:extent cx="5222584" cy="2880000"/>
            <wp:effectExtent l="19050" t="19050" r="16510" b="15875"/>
            <wp:docPr id="116764880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584" cy="288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B5CB2" w14:textId="2D648437" w:rsidR="005B76E0" w:rsidRPr="005B76E0" w:rsidRDefault="005B76E0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B76E0">
        <w:rPr>
          <w:rFonts w:ascii="Times New Roman" w:hAnsi="Times New Roman" w:cs="Times New Roman"/>
          <w:sz w:val="24"/>
          <w:szCs w:val="24"/>
        </w:rPr>
        <w:t xml:space="preserve">A 2×2 paneles impulzus–válaszábrák a vizsgált változók közötti dinamikus összefüggéseket szemléltetik a </w:t>
      </w:r>
      <w:proofErr w:type="gramStart"/>
      <w:r w:rsidRPr="005B76E0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5B76E0">
        <w:rPr>
          <w:rFonts w:ascii="Times New Roman" w:hAnsi="Times New Roman" w:cs="Times New Roman"/>
          <w:sz w:val="24"/>
          <w:szCs w:val="24"/>
        </w:rPr>
        <w:t>4) modell alapján. A légi utasforgalom sokkja a vasúti utaskilométerekre („Légi → vasúti forgalom”) csak nagyon mérsékelt, statisztikailag nem egyértelmű hatást mutat. Bár az első néhány negyedévben megfigyelhető egy rövid távú elmozdulás, a konfidenciaintervallumok gyorsan tartalmazzák a nullát, ami arra utal, hogy a légi közlekedés rövid távú ingadozásai nem gyakorolnak számottevő hatást a vasúti keresletre. A fordított irány („Vasúti → légi forgalom”) esetében a vasúti sokk hatása szintén csekély, és gyorsan lecsengő mintát ad, ami azt jelzi, hogy a két közlekedési mód között ebben a specifikációban nem mutatható ki erős helyettesítési dinamika.</w:t>
      </w:r>
    </w:p>
    <w:p w14:paraId="6EDFFFD6" w14:textId="77777777" w:rsidR="005B76E0" w:rsidRPr="005B76E0" w:rsidRDefault="005B76E0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B76E0">
        <w:rPr>
          <w:rFonts w:ascii="Times New Roman" w:hAnsi="Times New Roman" w:cs="Times New Roman"/>
          <w:sz w:val="24"/>
          <w:szCs w:val="24"/>
        </w:rPr>
        <w:t>A fogyasztási sokkok hatása jóval erősebb és stabilabb képet mutat. A „Fogyasztás → légi forgalom” kapcsolat esetében a pozitív impulzus tartósan a nullán felül marad, ami jól illeszkedik a Granger-okozatisági vizsgálatok eredményéhez: a fogyasztás növekedése érdemben és tartósan növeli a légi utasforgalmat. Ez logikusan értelmezhető gazdasági oldalról is, hiszen a légi utazás erősen jövedelemérzékeny szolgáltatás, amely a háztartások fogyasztási ciklusaira reagál. A vasúti keresletre gyakorolt fogyasztási hatás („Fogyasztás → vasúti forgalom”) ezzel szemben sokkal bizonytalanabb, az impulzus–válasz érték körül ingadozik, és viszonylag korán visszatér a nullához. Ez arra utal, hogy a vasút esetében a kereslet sokkal kevésbé függ a makrogazdasági ciklusoktól, és inkább strukturális vagy kínálati tényezők alakítják.</w:t>
      </w:r>
    </w:p>
    <w:p w14:paraId="629A9C95" w14:textId="77777777" w:rsidR="0036221B" w:rsidRDefault="0036221B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88C11DB" w14:textId="77777777" w:rsidR="0036221B" w:rsidRDefault="0036221B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C6F35FF" w14:textId="4534DBE0" w:rsidR="0036221B" w:rsidRPr="0036221B" w:rsidRDefault="0036221B" w:rsidP="0036221B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lastRenderedPageBreak/>
        <w:t>Ábra:</w:t>
      </w:r>
      <w:r w:rsidR="00386796" w:rsidRPr="00386796">
        <w:rPr>
          <w:kern w:val="0"/>
          <w14:ligatures w14:val="none"/>
        </w:rPr>
        <w:t xml:space="preserve"> </w:t>
      </w:r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>A vasúti kereslet (</w:t>
      </w:r>
      <w:proofErr w:type="spellStart"/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>d_train</w:t>
      </w:r>
      <w:proofErr w:type="spellEnd"/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 xml:space="preserve">) </w:t>
      </w:r>
      <w:r w:rsidR="00386796">
        <w:rPr>
          <w:rFonts w:ascii="Times New Roman" w:hAnsi="Times New Roman" w:cs="Times New Roman"/>
          <w:i/>
          <w:iCs/>
          <w:sz w:val="20"/>
          <w:szCs w:val="20"/>
        </w:rPr>
        <w:t>egyenletének</w:t>
      </w:r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 xml:space="preserve"> együtthatók – </w:t>
      </w:r>
      <w:proofErr w:type="gramStart"/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>VAR(</w:t>
      </w:r>
      <w:proofErr w:type="gramEnd"/>
      <w:r w:rsidR="00386796" w:rsidRPr="00386796">
        <w:rPr>
          <w:rFonts w:ascii="Times New Roman" w:hAnsi="Times New Roman" w:cs="Times New Roman"/>
          <w:i/>
          <w:iCs/>
          <w:sz w:val="20"/>
          <w:szCs w:val="20"/>
        </w:rPr>
        <w:t>4)</w:t>
      </w:r>
      <w:r w:rsidRPr="00EC075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2266B984" w14:textId="6FC750AF" w:rsidR="005B76E0" w:rsidRDefault="0036221B" w:rsidP="0036221B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622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09623" wp14:editId="146131FC">
            <wp:extent cx="3863340" cy="3173095"/>
            <wp:effectExtent l="19050" t="19050" r="22860" b="27305"/>
            <wp:docPr id="105908362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83624" name="Kép 1" descr="A képen szöveg, képernyőkép, Betűtípus, szám látható&#10;&#10;Előfordulhat, hogy az AI által létrehozott tartalom helytelen."/>
                    <pic:cNvPicPr/>
                  </pic:nvPicPr>
                  <pic:blipFill rotWithShape="1">
                    <a:blip r:embed="rId14"/>
                    <a:srcRect l="16276" r="17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1730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C48BE" w14:textId="6D2F4EC5" w:rsidR="00386796" w:rsidRPr="00386796" w:rsidRDefault="00386796" w:rsidP="0038679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86796">
        <w:rPr>
          <w:rFonts w:ascii="Times New Roman" w:hAnsi="Times New Roman" w:cs="Times New Roman"/>
          <w:sz w:val="24"/>
          <w:szCs w:val="24"/>
        </w:rPr>
        <w:t>d_train</w:t>
      </w:r>
      <w:proofErr w:type="spellEnd"/>
      <w:r w:rsidRPr="00386796">
        <w:rPr>
          <w:rFonts w:ascii="Times New Roman" w:hAnsi="Times New Roman" w:cs="Times New Roman"/>
          <w:sz w:val="24"/>
          <w:szCs w:val="24"/>
        </w:rPr>
        <w:t xml:space="preserve"> egyenlet becsült együtthatói azt mutatják, hogy a vasúti utaskilométerek negyedéves változását elsősorban a változó saját múltbeli értékei magyarázzák. A d_</w:t>
      </w:r>
      <w:proofErr w:type="gramStart"/>
      <w:r w:rsidRPr="00386796">
        <w:rPr>
          <w:rFonts w:ascii="Times New Roman" w:hAnsi="Times New Roman" w:cs="Times New Roman"/>
          <w:sz w:val="24"/>
          <w:szCs w:val="24"/>
        </w:rPr>
        <w:t>train.l</w:t>
      </w:r>
      <w:proofErr w:type="gramEnd"/>
      <w:r w:rsidRPr="00386796">
        <w:rPr>
          <w:rFonts w:ascii="Times New Roman" w:hAnsi="Times New Roman" w:cs="Times New Roman"/>
          <w:sz w:val="24"/>
          <w:szCs w:val="24"/>
        </w:rPr>
        <w:t>1 pozitív, míg a d_</w:t>
      </w:r>
      <w:proofErr w:type="gramStart"/>
      <w:r w:rsidRPr="00386796">
        <w:rPr>
          <w:rFonts w:ascii="Times New Roman" w:hAnsi="Times New Roman" w:cs="Times New Roman"/>
          <w:sz w:val="24"/>
          <w:szCs w:val="24"/>
        </w:rPr>
        <w:t>train.l</w:t>
      </w:r>
      <w:proofErr w:type="gramEnd"/>
      <w:r w:rsidRPr="00386796">
        <w:rPr>
          <w:rFonts w:ascii="Times New Roman" w:hAnsi="Times New Roman" w:cs="Times New Roman"/>
          <w:sz w:val="24"/>
          <w:szCs w:val="24"/>
        </w:rPr>
        <w:t>4 negatív előjele arra utal, hogy a vasúti keresletben van rövid távú tehetetlenség, ugyanakkor középtávon korrekciós mechanizmus érvényesül.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59A28A" w14:textId="48E50B45" w:rsidR="00386796" w:rsidRPr="00386796" w:rsidRDefault="00386796" w:rsidP="0038679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>A légi forgalom késleltetett értékei (d_</w:t>
      </w:r>
      <w:proofErr w:type="gramStart"/>
      <w:r w:rsidRPr="00386796">
        <w:rPr>
          <w:rFonts w:ascii="Times New Roman" w:hAnsi="Times New Roman" w:cs="Times New Roman"/>
          <w:sz w:val="24"/>
          <w:szCs w:val="24"/>
        </w:rPr>
        <w:t>air.l</w:t>
      </w:r>
      <w:proofErr w:type="gramEnd"/>
      <w:r w:rsidRPr="00386796">
        <w:rPr>
          <w:rFonts w:ascii="Times New Roman" w:hAnsi="Times New Roman" w:cs="Times New Roman"/>
          <w:sz w:val="24"/>
          <w:szCs w:val="24"/>
        </w:rPr>
        <w:t>1–l4) nem mutatnak stabil, következetes hatást a vasúti keresletre: az előjelek váltakoznak, és a nagyságrendjük sem indokol megbízható összefüggést. Ez összhangban van azzal, hogy a Granger-tesztek és az impulzus–válaszfüggvények sem jeleztek oksági kapcsolatot a légi → vasúti irányban.</w:t>
      </w:r>
    </w:p>
    <w:p w14:paraId="3747BF28" w14:textId="68BD8004" w:rsidR="00386796" w:rsidRPr="005B76E0" w:rsidRDefault="00386796" w:rsidP="0038679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>A fogyasztás késleltetett változói (d_</w:t>
      </w:r>
      <w:proofErr w:type="gramStart"/>
      <w:r w:rsidRPr="00386796">
        <w:rPr>
          <w:rFonts w:ascii="Times New Roman" w:hAnsi="Times New Roman" w:cs="Times New Roman"/>
          <w:sz w:val="24"/>
          <w:szCs w:val="24"/>
        </w:rPr>
        <w:t>cons.l</w:t>
      </w:r>
      <w:proofErr w:type="gramEnd"/>
      <w:r w:rsidRPr="00386796">
        <w:rPr>
          <w:rFonts w:ascii="Times New Roman" w:hAnsi="Times New Roman" w:cs="Times New Roman"/>
          <w:sz w:val="24"/>
          <w:szCs w:val="24"/>
        </w:rPr>
        <w:t>1–l4) szintén nem mutatnak egyértelmű és tartós hatást a vasúti keresletre; az előjelek iránya és nagysága nem konzisztens. Ez arra utal, hogy a vasúti közlekedés kevésbé érzékeny a fogyasztási ciklusokra, és a makrogazdasági ingadozások nem jelennek meg érdemben a vasúti kereslet negyedéves változásaiban.</w:t>
      </w:r>
    </w:p>
    <w:p w14:paraId="0D53BBDA" w14:textId="4F72C17E" w:rsidR="00F41BFF" w:rsidRDefault="00386796" w:rsidP="30131C34">
      <w:pPr>
        <w:pStyle w:val="Cmsor1"/>
      </w:pPr>
      <w:r w:rsidRPr="00386796">
        <w:t>A kapcsolat elemzése</w:t>
      </w:r>
    </w:p>
    <w:p w14:paraId="145E1F9F" w14:textId="77777777" w:rsidR="00386796" w:rsidRPr="00386796" w:rsidRDefault="00386796" w:rsidP="0038679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>A vizsgált modell eredményei alapján a vasúti és légi utasforgalom között a 2004–2025 közötti olasz adatokban nem azonosítható erős, rövid távú helyettesítési dinamika. Sem a Granger-okozatisági tesztek, sem az impulzus–válaszfüggvények nem mutatnak statisztikailag megbízható hatást egyik közlekedési mód sokkjától a másik felé. Ez arra utal, hogy a két szegmens kereslete ebben az időszakban nem közvetlenül egymást váltotta, hanem inkább párhuzamosan reagált a tágabb gazdasági környezetre és a kínálati feltételekre.</w:t>
      </w:r>
    </w:p>
    <w:p w14:paraId="79EFE356" w14:textId="77777777" w:rsidR="00386796" w:rsidRPr="00386796" w:rsidRDefault="00386796" w:rsidP="003867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0F136" w14:textId="61A5E538" w:rsidR="00386796" w:rsidRPr="00386796" w:rsidRDefault="00386796" w:rsidP="0038679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>Ez az eredmény összhangban van több nemzetközi és olasz kutatással</w:t>
      </w:r>
      <w:r w:rsidR="00E14C69">
        <w:rPr>
          <w:rFonts w:ascii="Times New Roman" w:hAnsi="Times New Roman" w:cs="Times New Roman"/>
          <w:sz w:val="24"/>
          <w:szCs w:val="24"/>
        </w:rPr>
        <w:t xml:space="preserve">. </w:t>
      </w:r>
      <w:r w:rsidRPr="00386796">
        <w:rPr>
          <w:rFonts w:ascii="Times New Roman" w:hAnsi="Times New Roman" w:cs="Times New Roman"/>
          <w:sz w:val="24"/>
          <w:szCs w:val="24"/>
        </w:rPr>
        <w:t xml:space="preserve">Az Európai Bizottság és az Európai Vasúti Ügynökség (ERA) adatai szerint a vasúti és a légi keresletet erősen meghatározzák a saját piaci struktúrából adódó tényezők, például a vasút esetében a szolgáltatási színvonal, hálózatsűrűség és menetrendi fejlesztések, míg a légi közlekedésben a jegyárak, repülőtéri díjak és a diszkont légitársaságok növekvő szerepe (European Union </w:t>
      </w:r>
      <w:proofErr w:type="spellStart"/>
      <w:r w:rsidRPr="00386796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386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679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867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6796">
        <w:rPr>
          <w:rFonts w:ascii="Times New Roman" w:hAnsi="Times New Roman" w:cs="Times New Roman"/>
          <w:sz w:val="24"/>
          <w:szCs w:val="24"/>
        </w:rPr>
        <w:t>Railways</w:t>
      </w:r>
      <w:proofErr w:type="spellEnd"/>
      <w:r w:rsidRPr="00386796">
        <w:rPr>
          <w:rFonts w:ascii="Times New Roman" w:hAnsi="Times New Roman" w:cs="Times New Roman"/>
          <w:sz w:val="24"/>
          <w:szCs w:val="24"/>
        </w:rPr>
        <w:t xml:space="preserve">, 2020; European </w:t>
      </w:r>
      <w:proofErr w:type="spellStart"/>
      <w:r w:rsidRPr="00386796">
        <w:rPr>
          <w:rFonts w:ascii="Times New Roman" w:hAnsi="Times New Roman" w:cs="Times New Roman"/>
          <w:sz w:val="24"/>
          <w:szCs w:val="24"/>
        </w:rPr>
        <w:t>Commission</w:t>
      </w:r>
      <w:proofErr w:type="spellEnd"/>
      <w:r w:rsidRPr="00386796">
        <w:rPr>
          <w:rFonts w:ascii="Times New Roman" w:hAnsi="Times New Roman" w:cs="Times New Roman"/>
          <w:sz w:val="24"/>
          <w:szCs w:val="24"/>
        </w:rPr>
        <w:t>, 2022).</w:t>
      </w:r>
    </w:p>
    <w:p w14:paraId="60574B14" w14:textId="45180EEE" w:rsidR="00386796" w:rsidRPr="00386796" w:rsidRDefault="00386796" w:rsidP="0038679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 xml:space="preserve">A fogyasztási változó ugyanakkor jelentős és tartós hatást gyakorol a légi utasforgalomra, amit a Granger-tesztek és az impulzus–válaszfüggvények is megerősítenek. Ez megfelel annak a széles körben dokumentált ténynek, hogy a légi közlekedés erősen jövedelemérzékeny, és a makrogazdasági ciklusokkal szoros összefüggést mutat. Az Eurostat légiforgalmi statisztikái és az International </w:t>
      </w:r>
      <w:proofErr w:type="spellStart"/>
      <w:r w:rsidRPr="00386796">
        <w:rPr>
          <w:rFonts w:ascii="Times New Roman" w:hAnsi="Times New Roman" w:cs="Times New Roman"/>
          <w:sz w:val="24"/>
          <w:szCs w:val="24"/>
        </w:rPr>
        <w:t>Transport</w:t>
      </w:r>
      <w:proofErr w:type="spellEnd"/>
      <w:r w:rsidRPr="00386796">
        <w:rPr>
          <w:rFonts w:ascii="Times New Roman" w:hAnsi="Times New Roman" w:cs="Times New Roman"/>
          <w:sz w:val="24"/>
          <w:szCs w:val="24"/>
        </w:rPr>
        <w:t xml:space="preserve"> Forum (ITF) elemzései szerint a légi utazás volumene Európában a háztartási fogyasztással és a rendelkezésre álló jövedelemmel együtt mozog, különösen a nem kötelező, szabadidős célú utazási szegmensben.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32C3A68" w14:textId="0FE83195" w:rsidR="00386796" w:rsidRPr="00386796" w:rsidRDefault="00386796" w:rsidP="0038679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86796">
        <w:rPr>
          <w:rFonts w:ascii="Times New Roman" w:hAnsi="Times New Roman" w:cs="Times New Roman"/>
          <w:sz w:val="24"/>
          <w:szCs w:val="24"/>
        </w:rPr>
        <w:t>A vasút esetében ezzel szemben a fogyasztás hatása sokkal gyengébb és bizonytalanabb. A szakirodalom ezt úgy magyarázza, hogy a vasút keresletét – különösen Olaszországban – nagyobb részben strukturális és infrastrukturális tényezők mozgatják, így kevésbé jövedelemérzékeny, és kevésbé reagál a rövid távú gazdasági ingadozásokra. Az Európai Környezetvédelmi Ügynökség (EEA) több jelentése is rámutat, hogy a vasút használatát – különösen a regionális szakaszokon – sokkal inkább a szolgáltatás minősége, a menetrend, a földrajzi lefedettség és az alternatívák elérhetősége határozza meg, nem pedig a háztartási fogyasztás (EEA, 2021).</w:t>
      </w:r>
    </w:p>
    <w:p w14:paraId="03755188" w14:textId="1429C43B" w:rsidR="00DC0815" w:rsidRDefault="1F9CF54A" w:rsidP="001644D2">
      <w:pPr>
        <w:pStyle w:val="Cmsor1"/>
      </w:pPr>
      <w:bookmarkStart w:id="2" w:name="_Toc199272896"/>
      <w:r w:rsidRPr="00E14C69">
        <w:t>Konklúzió</w:t>
      </w:r>
      <w:bookmarkEnd w:id="2"/>
    </w:p>
    <w:p w14:paraId="75027092" w14:textId="77777777" w:rsidR="00E14C69" w:rsidRP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14C69">
        <w:rPr>
          <w:rFonts w:ascii="Times New Roman" w:hAnsi="Times New Roman" w:cs="Times New Roman"/>
          <w:sz w:val="24"/>
          <w:szCs w:val="24"/>
        </w:rPr>
        <w:t>Az elemzés célja a vasúti utasforgalom, a légi közlekedés és a háztartási fogyasztás közötti dinamikus összefüggések feltárása volt a 2004–2025 közötti olasz adatok alapján. A szezonálisan kiigazított és stacionerré tett idősorokon becsült VAR-modell, valamint a Granger-okozatisági és impulzus–válaszvizsgálatok eredményei alapján megállapítható, hogy a vasúti és a légi közlekedés között országos szinten nem mutatkozik érdemi rövid távú helyettesítési kapcsolat. A két mód kereslete inkább saját szektoron belüli tényezőkre reagál, mintsem közvetlenül egymás ingadozásaira.</w:t>
      </w:r>
    </w:p>
    <w:p w14:paraId="79A57C8F" w14:textId="77777777" w:rsidR="00E14C69" w:rsidRP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46912AD" w14:textId="21A927C2" w:rsidR="00E14C69" w:rsidRPr="00E14C69" w:rsidRDefault="00E14C69" w:rsidP="00CB4CB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14C69">
        <w:rPr>
          <w:rFonts w:ascii="Times New Roman" w:hAnsi="Times New Roman" w:cs="Times New Roman"/>
          <w:sz w:val="24"/>
          <w:szCs w:val="24"/>
        </w:rPr>
        <w:lastRenderedPageBreak/>
        <w:t>A fogyasztás ezzel szemben egyértelműen meghatározza a légi utasforgalom alakulását: a fogyasztási sokkok tartós és szignifikáns hatást gyakorolnak a légi közlekedésre, ami jól tükrözi az ágazat jövedelemérzékenységét. A vasúti kereslet esetében a fogyasztás szerepe jóval gyengébb és bizonytalanabb, ami arra utal, hogy a vasút működését inkább strukturális, hálózati és szolgáltatási tényezők irányítják.</w:t>
      </w:r>
    </w:p>
    <w:p w14:paraId="3EF0370F" w14:textId="71670376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14C69">
        <w:rPr>
          <w:rFonts w:ascii="Times New Roman" w:hAnsi="Times New Roman" w:cs="Times New Roman"/>
          <w:sz w:val="24"/>
          <w:szCs w:val="24"/>
        </w:rPr>
        <w:t>Összességében az eredmények azt mutatják, hogy a légi közlekedés erősen függ a makrogazdasági ciklusoktól, míg a vasúti forgalom stabilabb és kevésbé érzékeny a gazdasági ingadozásokra. A két közlekedési mód között a vizsgált időszakban nem azonosítható közvetlen, rövid távú versengés, így a mobilitási dinamika döntően a fogyasztási trendekhez és az egyes módok saját jellemzőihez kapcsolódik.</w:t>
      </w:r>
    </w:p>
    <w:p w14:paraId="68BA90A9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AFCC67F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46619F5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72498B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E61BB96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A51DB26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F108244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4D76186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7C76321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E1BF6B5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2FA83BE" w14:textId="77777777" w:rsidR="00CB4CBA" w:rsidRDefault="00CB4CBA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852C4A" w14:textId="77777777" w:rsidR="00CB4CBA" w:rsidRDefault="00CB4CBA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5155273" w14:textId="77777777" w:rsidR="00CB4CBA" w:rsidRDefault="00CB4CBA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2EDDF4C" w14:textId="77777777" w:rsidR="00CB4CBA" w:rsidRDefault="00CB4CBA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8E83BDD" w14:textId="77777777" w:rsidR="00CB4CBA" w:rsidRDefault="00CB4CBA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0E7F16B" w14:textId="77777777" w:rsidR="00CB4CBA" w:rsidRPr="00E14C69" w:rsidRDefault="00CB4CBA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3E00C00" w14:textId="34579087" w:rsidR="0042288E" w:rsidRPr="006857B7" w:rsidRDefault="1F9CF54A" w:rsidP="00E14C69">
      <w:pPr>
        <w:pStyle w:val="Cmsor1"/>
      </w:pPr>
      <w:r w:rsidRPr="00E14C69">
        <w:lastRenderedPageBreak/>
        <w:tab/>
      </w:r>
      <w:bookmarkStart w:id="3" w:name="_Toc199272897"/>
      <w:r w:rsidR="0042288E" w:rsidRPr="006857B7">
        <w:t>Hivatkozások</w:t>
      </w:r>
      <w:bookmarkEnd w:id="3"/>
    </w:p>
    <w:p w14:paraId="08C9D555" w14:textId="77777777" w:rsidR="00CB4CBA" w:rsidRPr="0081539F" w:rsidRDefault="00CB4CBA" w:rsidP="00CB4CBA">
      <w:pPr>
        <w:pStyle w:val="Listaszerbekezds"/>
        <w:numPr>
          <w:ilvl w:val="0"/>
          <w:numId w:val="39"/>
        </w:numPr>
        <w:rPr>
          <w:rFonts w:ascii="Times New Roman" w:hAnsi="Times New Roman" w:cs="Times New Roman"/>
        </w:rPr>
      </w:pPr>
      <w:r w:rsidRPr="0081539F">
        <w:rPr>
          <w:rFonts w:ascii="Times New Roman" w:hAnsi="Times New Roman" w:cs="Times New Roman"/>
        </w:rPr>
        <w:t>Adatok</w:t>
      </w:r>
    </w:p>
    <w:p w14:paraId="4209DA92" w14:textId="77777777" w:rsidR="00CB4CBA" w:rsidRDefault="00CB4CBA" w:rsidP="00CB4CBA">
      <w:pPr>
        <w:pStyle w:val="NormlWeb"/>
        <w:numPr>
          <w:ilvl w:val="1"/>
          <w:numId w:val="39"/>
        </w:numPr>
        <w:spacing w:before="100" w:beforeAutospacing="1" w:after="100" w:afterAutospacing="1" w:line="240" w:lineRule="auto"/>
      </w:pPr>
      <w:r w:rsidRPr="00591E23">
        <w:t>Eurostat. (</w:t>
      </w:r>
      <w:proofErr w:type="spellStart"/>
      <w:r w:rsidRPr="00591E23">
        <w:t>n.d</w:t>
      </w:r>
      <w:proofErr w:type="spellEnd"/>
      <w:r w:rsidRPr="00591E23">
        <w:t xml:space="preserve">.). </w:t>
      </w:r>
      <w:proofErr w:type="spellStart"/>
      <w:r w:rsidRPr="00591E23">
        <w:rPr>
          <w:rFonts w:eastAsia="Times New Roman"/>
          <w:i/>
          <w:iCs/>
        </w:rPr>
        <w:t>Railway</w:t>
      </w:r>
      <w:proofErr w:type="spellEnd"/>
      <w:r w:rsidRPr="00591E23">
        <w:rPr>
          <w:rFonts w:eastAsia="Times New Roman"/>
          <w:i/>
          <w:iCs/>
        </w:rPr>
        <w:t xml:space="preserve"> </w:t>
      </w:r>
      <w:proofErr w:type="spellStart"/>
      <w:r w:rsidRPr="00591E23">
        <w:rPr>
          <w:rFonts w:eastAsia="Times New Roman"/>
          <w:i/>
          <w:iCs/>
        </w:rPr>
        <w:t>passenger</w:t>
      </w:r>
      <w:proofErr w:type="spellEnd"/>
      <w:r w:rsidRPr="00591E23">
        <w:rPr>
          <w:rFonts w:eastAsia="Times New Roman"/>
          <w:i/>
          <w:iCs/>
        </w:rPr>
        <w:t xml:space="preserve"> </w:t>
      </w:r>
      <w:proofErr w:type="spellStart"/>
      <w:r w:rsidRPr="00591E23">
        <w:rPr>
          <w:rFonts w:eastAsia="Times New Roman"/>
          <w:i/>
          <w:iCs/>
        </w:rPr>
        <w:t>transport</w:t>
      </w:r>
      <w:proofErr w:type="spellEnd"/>
      <w:r w:rsidRPr="00591E23">
        <w:rPr>
          <w:rFonts w:eastAsia="Times New Roman"/>
          <w:i/>
          <w:iCs/>
        </w:rPr>
        <w:t xml:space="preserve"> – </w:t>
      </w:r>
      <w:proofErr w:type="spellStart"/>
      <w:r w:rsidRPr="00591E23">
        <w:rPr>
          <w:rFonts w:eastAsia="Times New Roman"/>
          <w:i/>
          <w:iCs/>
        </w:rPr>
        <w:t>quarterly</w:t>
      </w:r>
      <w:proofErr w:type="spellEnd"/>
      <w:r w:rsidRPr="00591E23">
        <w:rPr>
          <w:rFonts w:eastAsia="Times New Roman"/>
          <w:i/>
          <w:iCs/>
        </w:rPr>
        <w:t xml:space="preserve"> </w:t>
      </w:r>
      <w:proofErr w:type="spellStart"/>
      <w:r w:rsidRPr="00591E23">
        <w:rPr>
          <w:rFonts w:eastAsia="Times New Roman"/>
          <w:i/>
          <w:iCs/>
        </w:rPr>
        <w:t>data</w:t>
      </w:r>
      <w:proofErr w:type="spellEnd"/>
      <w:r w:rsidRPr="00591E23">
        <w:rPr>
          <w:rFonts w:eastAsia="Times New Roman"/>
          <w:i/>
          <w:iCs/>
        </w:rPr>
        <w:t xml:space="preserve">: </w:t>
      </w:r>
      <w:proofErr w:type="spellStart"/>
      <w:r w:rsidRPr="00591E23">
        <w:rPr>
          <w:rFonts w:eastAsia="Times New Roman"/>
          <w:i/>
          <w:iCs/>
        </w:rPr>
        <w:t>rail_pa_quartal</w:t>
      </w:r>
      <w:proofErr w:type="spellEnd"/>
      <w:r w:rsidRPr="00591E23">
        <w:t xml:space="preserve"> [Data </w:t>
      </w:r>
      <w:proofErr w:type="spellStart"/>
      <w:r w:rsidRPr="00591E23">
        <w:t>table</w:t>
      </w:r>
      <w:proofErr w:type="spellEnd"/>
      <w:r w:rsidRPr="00591E23">
        <w:t xml:space="preserve">]. </w:t>
      </w:r>
      <w:proofErr w:type="spellStart"/>
      <w:r w:rsidRPr="00591E23">
        <w:t>Retrieved</w:t>
      </w:r>
      <w:proofErr w:type="spellEnd"/>
      <w:r w:rsidRPr="00591E23">
        <w:t xml:space="preserve"> </w:t>
      </w:r>
      <w:proofErr w:type="gramStart"/>
      <w:r w:rsidRPr="00591E23">
        <w:t>November</w:t>
      </w:r>
      <w:proofErr w:type="gramEnd"/>
      <w:r w:rsidRPr="00591E23">
        <w:t xml:space="preserve"> 23, 2025, </w:t>
      </w:r>
      <w:proofErr w:type="spellStart"/>
      <w:r w:rsidRPr="00591E23">
        <w:t>from</w:t>
      </w:r>
      <w:proofErr w:type="spellEnd"/>
      <w:r w:rsidRPr="00591E23">
        <w:t xml:space="preserve"> </w:t>
      </w:r>
      <w:hyperlink r:id="rId15" w:tgtFrame="_new" w:history="1">
        <w:r w:rsidRPr="00591E23">
          <w:rPr>
            <w:rStyle w:val="Hiperhivatkozs"/>
            <w:rFonts w:eastAsia="Times New Roman"/>
          </w:rPr>
          <w:t>https://ec.europa.eu/eurostat/databrowser/view/rail_pa_quartal/default/table?lang=en</w:t>
        </w:r>
      </w:hyperlink>
    </w:p>
    <w:p w14:paraId="0F12F1D4" w14:textId="77777777" w:rsidR="00CB4CBA" w:rsidRPr="0081539F" w:rsidRDefault="00CB4CBA" w:rsidP="00CB4CBA">
      <w:pPr>
        <w:pStyle w:val="NormlWeb"/>
        <w:numPr>
          <w:ilvl w:val="1"/>
          <w:numId w:val="39"/>
        </w:numPr>
        <w:spacing w:before="100" w:beforeAutospacing="1" w:after="100" w:afterAutospacing="1" w:line="240" w:lineRule="auto"/>
      </w:pPr>
      <w:r w:rsidRPr="0081539F">
        <w:t>European Union. Eurostat. (</w:t>
      </w:r>
      <w:proofErr w:type="spellStart"/>
      <w:r w:rsidRPr="0081539F">
        <w:t>n.d</w:t>
      </w:r>
      <w:proofErr w:type="spellEnd"/>
      <w:r w:rsidRPr="0081539F">
        <w:t xml:space="preserve">.). </w:t>
      </w:r>
      <w:r w:rsidRPr="0081539F">
        <w:rPr>
          <w:rStyle w:val="Kiemels"/>
          <w:rFonts w:eastAsiaTheme="majorEastAsia"/>
        </w:rPr>
        <w:t xml:space="preserve">Air </w:t>
      </w:r>
      <w:proofErr w:type="spellStart"/>
      <w:r w:rsidRPr="0081539F">
        <w:rPr>
          <w:rStyle w:val="Kiemels"/>
          <w:rFonts w:eastAsiaTheme="majorEastAsia"/>
        </w:rPr>
        <w:t>passenger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transport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by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type</w:t>
      </w:r>
      <w:proofErr w:type="spellEnd"/>
      <w:r w:rsidRPr="0081539F">
        <w:rPr>
          <w:rStyle w:val="Kiemels"/>
          <w:rFonts w:eastAsiaTheme="majorEastAsia"/>
        </w:rPr>
        <w:t xml:space="preserve"> of </w:t>
      </w:r>
      <w:proofErr w:type="spellStart"/>
      <w:r w:rsidRPr="0081539F">
        <w:rPr>
          <w:rStyle w:val="Kiemels"/>
          <w:rFonts w:eastAsiaTheme="majorEastAsia"/>
        </w:rPr>
        <w:t>schedule</w:t>
      </w:r>
      <w:proofErr w:type="spellEnd"/>
      <w:r w:rsidRPr="0081539F">
        <w:rPr>
          <w:rStyle w:val="Kiemels"/>
          <w:rFonts w:eastAsiaTheme="majorEastAsia"/>
        </w:rPr>
        <w:t xml:space="preserve">, </w:t>
      </w:r>
      <w:proofErr w:type="spellStart"/>
      <w:r w:rsidRPr="0081539F">
        <w:rPr>
          <w:rStyle w:val="Kiemels"/>
          <w:rFonts w:eastAsiaTheme="majorEastAsia"/>
        </w:rPr>
        <w:t>transport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coverage</w:t>
      </w:r>
      <w:proofErr w:type="spellEnd"/>
      <w:r w:rsidRPr="0081539F">
        <w:rPr>
          <w:rStyle w:val="Kiemels"/>
          <w:rFonts w:eastAsiaTheme="majorEastAsia"/>
        </w:rPr>
        <w:t xml:space="preserve"> and country (AVIA_PAOC)</w:t>
      </w:r>
      <w:r w:rsidRPr="0081539F">
        <w:t xml:space="preserve"> </w:t>
      </w:r>
      <w:r w:rsidRPr="0081539F">
        <w:br/>
      </w:r>
      <w:hyperlink r:id="rId16" w:tgtFrame="_new" w:history="1">
        <w:r w:rsidRPr="0081539F">
          <w:rPr>
            <w:rStyle w:val="Hiperhivatkozs"/>
            <w:rFonts w:eastAsiaTheme="majorEastAsia"/>
          </w:rPr>
          <w:t>https://ec.europa.eu/eurostat/databrowser/view/AVIA_PAOC/default/table</w:t>
        </w:r>
      </w:hyperlink>
    </w:p>
    <w:p w14:paraId="64D3FCDF" w14:textId="77777777" w:rsidR="00CB4CBA" w:rsidRDefault="00CB4CBA" w:rsidP="00CB4CBA">
      <w:pPr>
        <w:pStyle w:val="NormlWeb"/>
        <w:numPr>
          <w:ilvl w:val="1"/>
          <w:numId w:val="39"/>
        </w:numPr>
        <w:spacing w:before="100" w:beforeAutospacing="1" w:after="100" w:afterAutospacing="1" w:line="240" w:lineRule="auto"/>
      </w:pPr>
      <w:r w:rsidRPr="0081539F">
        <w:t>European Union. Eurostat. (</w:t>
      </w:r>
      <w:proofErr w:type="spellStart"/>
      <w:r w:rsidRPr="0081539F">
        <w:t>n.d</w:t>
      </w:r>
      <w:proofErr w:type="spellEnd"/>
      <w:r w:rsidRPr="0081539F">
        <w:t xml:space="preserve">.). </w:t>
      </w:r>
      <w:r w:rsidRPr="0081539F">
        <w:rPr>
          <w:rStyle w:val="Kiemels"/>
          <w:rFonts w:eastAsiaTheme="majorEastAsia"/>
        </w:rPr>
        <w:t xml:space="preserve">National </w:t>
      </w:r>
      <w:proofErr w:type="spellStart"/>
      <w:r w:rsidRPr="0081539F">
        <w:rPr>
          <w:rStyle w:val="Kiemels"/>
          <w:rFonts w:eastAsiaTheme="majorEastAsia"/>
        </w:rPr>
        <w:t>accounts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aggregates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by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expenditure</w:t>
      </w:r>
      <w:proofErr w:type="spellEnd"/>
      <w:r w:rsidRPr="0081539F">
        <w:rPr>
          <w:rStyle w:val="Kiemels"/>
          <w:rFonts w:eastAsiaTheme="majorEastAsia"/>
        </w:rPr>
        <w:t xml:space="preserve">: </w:t>
      </w:r>
      <w:proofErr w:type="spellStart"/>
      <w:r w:rsidRPr="0081539F">
        <w:rPr>
          <w:rStyle w:val="Kiemels"/>
          <w:rFonts w:eastAsiaTheme="majorEastAsia"/>
        </w:rPr>
        <w:t>Final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consumption</w:t>
      </w:r>
      <w:proofErr w:type="spellEnd"/>
      <w:r w:rsidRPr="0081539F">
        <w:rPr>
          <w:rStyle w:val="Kiemels"/>
          <w:rFonts w:eastAsiaTheme="majorEastAsia"/>
        </w:rPr>
        <w:t xml:space="preserve"> </w:t>
      </w:r>
      <w:proofErr w:type="spellStart"/>
      <w:r w:rsidRPr="0081539F">
        <w:rPr>
          <w:rStyle w:val="Kiemels"/>
          <w:rFonts w:eastAsiaTheme="majorEastAsia"/>
        </w:rPr>
        <w:t>expenditure</w:t>
      </w:r>
      <w:proofErr w:type="spellEnd"/>
      <w:r w:rsidRPr="0081539F">
        <w:rPr>
          <w:rStyle w:val="Kiemels"/>
          <w:rFonts w:eastAsiaTheme="majorEastAsia"/>
        </w:rPr>
        <w:t xml:space="preserve"> (P31_S14_S15), </w:t>
      </w:r>
      <w:proofErr w:type="spellStart"/>
      <w:r w:rsidRPr="0081539F">
        <w:rPr>
          <w:rStyle w:val="Kiemels"/>
          <w:rFonts w:eastAsiaTheme="majorEastAsia"/>
        </w:rPr>
        <w:t>Italy</w:t>
      </w:r>
      <w:proofErr w:type="spellEnd"/>
      <w:r w:rsidRPr="0081539F">
        <w:rPr>
          <w:rStyle w:val="Kiemels"/>
          <w:rFonts w:eastAsiaTheme="majorEastAsia"/>
        </w:rPr>
        <w:t xml:space="preserve">, </w:t>
      </w:r>
      <w:proofErr w:type="spellStart"/>
      <w:r w:rsidRPr="0081539F">
        <w:rPr>
          <w:rStyle w:val="Kiemels"/>
          <w:rFonts w:eastAsiaTheme="majorEastAsia"/>
        </w:rPr>
        <w:t>quarterly</w:t>
      </w:r>
      <w:proofErr w:type="spellEnd"/>
      <w:r w:rsidRPr="0081539F">
        <w:rPr>
          <w:rStyle w:val="Kiemels"/>
          <w:rFonts w:eastAsiaTheme="majorEastAsia"/>
        </w:rPr>
        <w:t xml:space="preserve"> (namq_10_gdp)</w:t>
      </w:r>
      <w:r w:rsidRPr="0081539F">
        <w:t xml:space="preserve"> </w:t>
      </w:r>
      <w:r w:rsidRPr="0081539F">
        <w:br/>
      </w:r>
      <w:hyperlink r:id="rId17" w:tgtFrame="_new" w:history="1">
        <w:r w:rsidRPr="0081539F">
          <w:rPr>
            <w:rStyle w:val="Hiperhivatkozs"/>
            <w:rFonts w:eastAsiaTheme="majorEastAsia"/>
          </w:rPr>
          <w:t>https://ec.europa.eu/eurostat/databrowser/view/namq_10_gdp__custom_18779498/default/table</w:t>
        </w:r>
      </w:hyperlink>
    </w:p>
    <w:p w14:paraId="3472BCC9" w14:textId="4EED301A" w:rsidR="00CB4CBA" w:rsidRDefault="00CB4CBA" w:rsidP="00CB4CBA">
      <w:pPr>
        <w:pStyle w:val="NormlWeb"/>
        <w:numPr>
          <w:ilvl w:val="0"/>
          <w:numId w:val="39"/>
        </w:numPr>
        <w:spacing w:before="100" w:beforeAutospacing="1" w:after="100" w:afterAutospacing="1" w:line="240" w:lineRule="auto"/>
      </w:pPr>
      <w:r>
        <w:t>További források</w:t>
      </w:r>
    </w:p>
    <w:p w14:paraId="43AEE0C7" w14:textId="77777777" w:rsidR="00CB4CBA" w:rsidRPr="00CB4CBA" w:rsidRDefault="00CB4CBA" w:rsidP="00CB4CBA">
      <w:pPr>
        <w:pStyle w:val="NormlWeb"/>
        <w:numPr>
          <w:ilvl w:val="1"/>
          <w:numId w:val="39"/>
        </w:numPr>
      </w:pPr>
      <w:r w:rsidRPr="00CB4CBA">
        <w:rPr>
          <w:rStyle w:val="Kiemels2"/>
          <w:b w:val="0"/>
          <w:bCs w:val="0"/>
        </w:rPr>
        <w:t xml:space="preserve">European </w:t>
      </w:r>
      <w:proofErr w:type="spellStart"/>
      <w:r w:rsidRPr="00CB4CBA">
        <w:rPr>
          <w:rStyle w:val="Kiemels2"/>
          <w:b w:val="0"/>
          <w:bCs w:val="0"/>
        </w:rPr>
        <w:t>Commission</w:t>
      </w:r>
      <w:proofErr w:type="spellEnd"/>
      <w:r w:rsidRPr="00CB4CBA">
        <w:rPr>
          <w:rStyle w:val="Kiemels2"/>
          <w:b w:val="0"/>
          <w:bCs w:val="0"/>
        </w:rPr>
        <w:t>. (2022).</w:t>
      </w:r>
      <w:r w:rsidRPr="00CB4CBA">
        <w:t xml:space="preserve"> </w:t>
      </w:r>
      <w:r w:rsidRPr="00CB4CBA">
        <w:rPr>
          <w:rStyle w:val="Kiemels"/>
        </w:rPr>
        <w:t xml:space="preserve">EU Air </w:t>
      </w:r>
      <w:proofErr w:type="spellStart"/>
      <w:r w:rsidRPr="00CB4CBA">
        <w:rPr>
          <w:rStyle w:val="Kiemels"/>
        </w:rPr>
        <w:t>Transport</w:t>
      </w:r>
      <w:proofErr w:type="spellEnd"/>
      <w:r w:rsidRPr="00CB4CBA">
        <w:rPr>
          <w:rStyle w:val="Kiemels"/>
        </w:rPr>
        <w:t xml:space="preserve"> </w:t>
      </w:r>
      <w:proofErr w:type="spellStart"/>
      <w:r w:rsidRPr="00CB4CBA">
        <w:rPr>
          <w:rStyle w:val="Kiemels"/>
        </w:rPr>
        <w:t>Statistical</w:t>
      </w:r>
      <w:proofErr w:type="spellEnd"/>
      <w:r w:rsidRPr="00CB4CBA">
        <w:rPr>
          <w:rStyle w:val="Kiemels"/>
        </w:rPr>
        <w:t xml:space="preserve"> </w:t>
      </w:r>
      <w:proofErr w:type="spellStart"/>
      <w:r w:rsidRPr="00CB4CBA">
        <w:rPr>
          <w:rStyle w:val="Kiemels"/>
        </w:rPr>
        <w:t>Pocketbook</w:t>
      </w:r>
      <w:proofErr w:type="spellEnd"/>
      <w:r w:rsidRPr="00CB4CBA">
        <w:t xml:space="preserve">. </w:t>
      </w:r>
      <w:proofErr w:type="spellStart"/>
      <w:r w:rsidRPr="00CB4CBA">
        <w:t>Publications</w:t>
      </w:r>
      <w:proofErr w:type="spellEnd"/>
      <w:r w:rsidRPr="00CB4CBA">
        <w:t xml:space="preserve"> Office of </w:t>
      </w:r>
      <w:proofErr w:type="spellStart"/>
      <w:r w:rsidRPr="00CB4CBA">
        <w:t>the</w:t>
      </w:r>
      <w:proofErr w:type="spellEnd"/>
      <w:r w:rsidRPr="00CB4CBA">
        <w:t xml:space="preserve"> European Union.</w:t>
      </w:r>
    </w:p>
    <w:p w14:paraId="26F2059D" w14:textId="77777777" w:rsidR="00CB4CBA" w:rsidRPr="00CB4CBA" w:rsidRDefault="00CB4CBA" w:rsidP="00CB4CBA">
      <w:pPr>
        <w:pStyle w:val="NormlWeb"/>
        <w:numPr>
          <w:ilvl w:val="1"/>
          <w:numId w:val="39"/>
        </w:numPr>
      </w:pPr>
      <w:r w:rsidRPr="00CB4CBA">
        <w:rPr>
          <w:rStyle w:val="Kiemels2"/>
          <w:b w:val="0"/>
          <w:bCs w:val="0"/>
        </w:rPr>
        <w:t xml:space="preserve">European Union </w:t>
      </w:r>
      <w:proofErr w:type="spellStart"/>
      <w:r w:rsidRPr="00CB4CBA">
        <w:rPr>
          <w:rStyle w:val="Kiemels2"/>
          <w:b w:val="0"/>
          <w:bCs w:val="0"/>
        </w:rPr>
        <w:t>Agency</w:t>
      </w:r>
      <w:proofErr w:type="spellEnd"/>
      <w:r w:rsidRPr="00CB4CBA">
        <w:rPr>
          <w:rStyle w:val="Kiemels2"/>
          <w:b w:val="0"/>
          <w:bCs w:val="0"/>
        </w:rPr>
        <w:t xml:space="preserve"> </w:t>
      </w:r>
      <w:proofErr w:type="spellStart"/>
      <w:r w:rsidRPr="00CB4CBA">
        <w:rPr>
          <w:rStyle w:val="Kiemels2"/>
          <w:b w:val="0"/>
          <w:bCs w:val="0"/>
        </w:rPr>
        <w:t>for</w:t>
      </w:r>
      <w:proofErr w:type="spellEnd"/>
      <w:r w:rsidRPr="00CB4CBA">
        <w:rPr>
          <w:rStyle w:val="Kiemels2"/>
          <w:b w:val="0"/>
          <w:bCs w:val="0"/>
        </w:rPr>
        <w:t xml:space="preserve"> </w:t>
      </w:r>
      <w:proofErr w:type="spellStart"/>
      <w:r w:rsidRPr="00CB4CBA">
        <w:rPr>
          <w:rStyle w:val="Kiemels2"/>
          <w:b w:val="0"/>
          <w:bCs w:val="0"/>
        </w:rPr>
        <w:t>Railways</w:t>
      </w:r>
      <w:proofErr w:type="spellEnd"/>
      <w:r w:rsidRPr="00CB4CBA">
        <w:rPr>
          <w:rStyle w:val="Kiemels2"/>
          <w:b w:val="0"/>
          <w:bCs w:val="0"/>
        </w:rPr>
        <w:t>. (2020).</w:t>
      </w:r>
      <w:r w:rsidRPr="00CB4CBA">
        <w:t xml:space="preserve"> </w:t>
      </w:r>
      <w:proofErr w:type="spellStart"/>
      <w:r w:rsidRPr="00CB4CBA">
        <w:rPr>
          <w:rStyle w:val="Kiemels"/>
        </w:rPr>
        <w:t>Railway</w:t>
      </w:r>
      <w:proofErr w:type="spellEnd"/>
      <w:r w:rsidRPr="00CB4CBA">
        <w:rPr>
          <w:rStyle w:val="Kiemels"/>
        </w:rPr>
        <w:t xml:space="preserve"> Market Monitoring </w:t>
      </w:r>
      <w:proofErr w:type="spellStart"/>
      <w:r w:rsidRPr="00CB4CBA">
        <w:rPr>
          <w:rStyle w:val="Kiemels"/>
        </w:rPr>
        <w:t>Report</w:t>
      </w:r>
      <w:proofErr w:type="spellEnd"/>
      <w:r w:rsidRPr="00CB4CBA">
        <w:t xml:space="preserve">. ERA </w:t>
      </w:r>
      <w:proofErr w:type="spellStart"/>
      <w:r w:rsidRPr="00CB4CBA">
        <w:t>Publications</w:t>
      </w:r>
      <w:proofErr w:type="spellEnd"/>
      <w:r w:rsidRPr="00CB4CBA">
        <w:t>.</w:t>
      </w:r>
    </w:p>
    <w:p w14:paraId="2DCE3147" w14:textId="77777777" w:rsidR="00CB4CBA" w:rsidRPr="00CB4CBA" w:rsidRDefault="00CB4CBA" w:rsidP="00CB4CBA">
      <w:pPr>
        <w:pStyle w:val="NormlWeb"/>
        <w:numPr>
          <w:ilvl w:val="1"/>
          <w:numId w:val="39"/>
        </w:numPr>
      </w:pPr>
      <w:r w:rsidRPr="00CB4CBA">
        <w:rPr>
          <w:rStyle w:val="Kiemels2"/>
          <w:b w:val="0"/>
          <w:bCs w:val="0"/>
        </w:rPr>
        <w:t>Eurostat. (</w:t>
      </w:r>
      <w:proofErr w:type="spellStart"/>
      <w:r w:rsidRPr="00CB4CBA">
        <w:rPr>
          <w:rStyle w:val="Kiemels2"/>
          <w:b w:val="0"/>
          <w:bCs w:val="0"/>
        </w:rPr>
        <w:t>n.d</w:t>
      </w:r>
      <w:proofErr w:type="spellEnd"/>
      <w:r w:rsidRPr="00CB4CBA">
        <w:rPr>
          <w:rStyle w:val="Kiemels2"/>
          <w:b w:val="0"/>
          <w:bCs w:val="0"/>
        </w:rPr>
        <w:t>.).</w:t>
      </w:r>
      <w:r w:rsidRPr="00CB4CBA">
        <w:t xml:space="preserve"> </w:t>
      </w:r>
      <w:r w:rsidRPr="00CB4CBA">
        <w:rPr>
          <w:rStyle w:val="Kiemels"/>
        </w:rPr>
        <w:t xml:space="preserve">Air </w:t>
      </w:r>
      <w:proofErr w:type="spellStart"/>
      <w:r w:rsidRPr="00CB4CBA">
        <w:rPr>
          <w:rStyle w:val="Kiemels"/>
        </w:rPr>
        <w:t>passenger</w:t>
      </w:r>
      <w:proofErr w:type="spellEnd"/>
      <w:r w:rsidRPr="00CB4CBA">
        <w:rPr>
          <w:rStyle w:val="Kiemels"/>
        </w:rPr>
        <w:t xml:space="preserve"> </w:t>
      </w:r>
      <w:proofErr w:type="spellStart"/>
      <w:r w:rsidRPr="00CB4CBA">
        <w:rPr>
          <w:rStyle w:val="Kiemels"/>
        </w:rPr>
        <w:t>transport</w:t>
      </w:r>
      <w:proofErr w:type="spellEnd"/>
      <w:r w:rsidRPr="00CB4CBA">
        <w:rPr>
          <w:rStyle w:val="Kiemels"/>
        </w:rPr>
        <w:t xml:space="preserve"> </w:t>
      </w:r>
      <w:proofErr w:type="spellStart"/>
      <w:r w:rsidRPr="00CB4CBA">
        <w:rPr>
          <w:rStyle w:val="Kiemels"/>
        </w:rPr>
        <w:t>statistics</w:t>
      </w:r>
      <w:proofErr w:type="spellEnd"/>
      <w:r w:rsidRPr="00CB4CBA">
        <w:t xml:space="preserve">. </w:t>
      </w:r>
      <w:proofErr w:type="spellStart"/>
      <w:r w:rsidRPr="00CB4CBA">
        <w:t>Retrieved</w:t>
      </w:r>
      <w:proofErr w:type="spellEnd"/>
      <w:r w:rsidRPr="00CB4CBA">
        <w:t xml:space="preserve"> </w:t>
      </w:r>
      <w:proofErr w:type="spellStart"/>
      <w:r w:rsidRPr="00CB4CBA">
        <w:t>from</w:t>
      </w:r>
      <w:proofErr w:type="spellEnd"/>
      <w:r w:rsidRPr="00CB4CBA">
        <w:t xml:space="preserve"> </w:t>
      </w:r>
      <w:hyperlink r:id="rId18" w:tgtFrame="_new" w:history="1">
        <w:r w:rsidRPr="00CB4CBA">
          <w:rPr>
            <w:rStyle w:val="Hiperhivatkozs"/>
          </w:rPr>
          <w:t>https://ec.europa.eu/eurostat</w:t>
        </w:r>
      </w:hyperlink>
    </w:p>
    <w:p w14:paraId="5A453115" w14:textId="77777777" w:rsidR="00CB4CBA" w:rsidRPr="00CB4CBA" w:rsidRDefault="00CB4CBA" w:rsidP="00CB4CBA">
      <w:pPr>
        <w:pStyle w:val="NormlWeb"/>
        <w:numPr>
          <w:ilvl w:val="1"/>
          <w:numId w:val="39"/>
        </w:numPr>
      </w:pPr>
      <w:r w:rsidRPr="00CB4CBA">
        <w:rPr>
          <w:rStyle w:val="Kiemels2"/>
          <w:b w:val="0"/>
          <w:bCs w:val="0"/>
        </w:rPr>
        <w:t>Eurostat. (</w:t>
      </w:r>
      <w:proofErr w:type="spellStart"/>
      <w:r w:rsidRPr="00CB4CBA">
        <w:rPr>
          <w:rStyle w:val="Kiemels2"/>
          <w:b w:val="0"/>
          <w:bCs w:val="0"/>
        </w:rPr>
        <w:t>n.d</w:t>
      </w:r>
      <w:proofErr w:type="spellEnd"/>
      <w:r w:rsidRPr="00CB4CBA">
        <w:rPr>
          <w:rStyle w:val="Kiemels2"/>
          <w:b w:val="0"/>
          <w:bCs w:val="0"/>
        </w:rPr>
        <w:t>.).</w:t>
      </w:r>
      <w:r w:rsidRPr="00CB4CBA">
        <w:t xml:space="preserve"> </w:t>
      </w:r>
      <w:proofErr w:type="spellStart"/>
      <w:r w:rsidRPr="00CB4CBA">
        <w:rPr>
          <w:rStyle w:val="Kiemels"/>
        </w:rPr>
        <w:t>Railway</w:t>
      </w:r>
      <w:proofErr w:type="spellEnd"/>
      <w:r w:rsidRPr="00CB4CBA">
        <w:rPr>
          <w:rStyle w:val="Kiemels"/>
        </w:rPr>
        <w:t xml:space="preserve"> </w:t>
      </w:r>
      <w:proofErr w:type="spellStart"/>
      <w:r w:rsidRPr="00CB4CBA">
        <w:rPr>
          <w:rStyle w:val="Kiemels"/>
        </w:rPr>
        <w:t>transport</w:t>
      </w:r>
      <w:proofErr w:type="spellEnd"/>
      <w:r w:rsidRPr="00CB4CBA">
        <w:rPr>
          <w:rStyle w:val="Kiemels"/>
        </w:rPr>
        <w:t xml:space="preserve"> </w:t>
      </w:r>
      <w:proofErr w:type="spellStart"/>
      <w:r w:rsidRPr="00CB4CBA">
        <w:rPr>
          <w:rStyle w:val="Kiemels"/>
        </w:rPr>
        <w:t>statistics</w:t>
      </w:r>
      <w:proofErr w:type="spellEnd"/>
      <w:r w:rsidRPr="00CB4CBA">
        <w:t xml:space="preserve">. </w:t>
      </w:r>
      <w:proofErr w:type="spellStart"/>
      <w:r w:rsidRPr="00CB4CBA">
        <w:t>Retrieved</w:t>
      </w:r>
      <w:proofErr w:type="spellEnd"/>
      <w:r w:rsidRPr="00CB4CBA">
        <w:t xml:space="preserve"> </w:t>
      </w:r>
      <w:proofErr w:type="spellStart"/>
      <w:r w:rsidRPr="00CB4CBA">
        <w:t>from</w:t>
      </w:r>
      <w:proofErr w:type="spellEnd"/>
      <w:r w:rsidRPr="00CB4CBA">
        <w:t xml:space="preserve"> </w:t>
      </w:r>
      <w:hyperlink r:id="rId19" w:tgtFrame="_new" w:history="1">
        <w:r w:rsidRPr="00CB4CBA">
          <w:rPr>
            <w:rStyle w:val="Hiperhivatkozs"/>
          </w:rPr>
          <w:t>https://ec.europa.eu/eurostat</w:t>
        </w:r>
      </w:hyperlink>
    </w:p>
    <w:p w14:paraId="54764F8E" w14:textId="77777777" w:rsidR="00CB4CBA" w:rsidRPr="0081539F" w:rsidRDefault="00CB4CBA" w:rsidP="00CB4CBA">
      <w:pPr>
        <w:pStyle w:val="NormlWeb"/>
        <w:spacing w:before="100" w:beforeAutospacing="1" w:after="100" w:afterAutospacing="1" w:line="240" w:lineRule="auto"/>
        <w:ind w:left="1440"/>
      </w:pPr>
    </w:p>
    <w:p w14:paraId="668A8601" w14:textId="0D259BC5" w:rsidR="003B1BFC" w:rsidRDefault="003B1BFC" w:rsidP="00CB4CBA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B1BFC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C9609" w14:textId="77777777" w:rsidR="00AF542A" w:rsidRPr="006857B7" w:rsidRDefault="00AF542A" w:rsidP="00E11165">
      <w:pPr>
        <w:spacing w:after="0" w:line="240" w:lineRule="auto"/>
      </w:pPr>
      <w:r w:rsidRPr="006857B7">
        <w:separator/>
      </w:r>
    </w:p>
  </w:endnote>
  <w:endnote w:type="continuationSeparator" w:id="0">
    <w:p w14:paraId="73038F08" w14:textId="77777777" w:rsidR="00AF542A" w:rsidRPr="006857B7" w:rsidRDefault="00AF542A" w:rsidP="00E11165">
      <w:pPr>
        <w:spacing w:after="0" w:line="240" w:lineRule="auto"/>
      </w:pPr>
      <w:r w:rsidRPr="006857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41530680"/>
      <w:docPartObj>
        <w:docPartGallery w:val="Page Numbers (Bottom of Page)"/>
        <w:docPartUnique/>
      </w:docPartObj>
    </w:sdtPr>
    <w:sdtContent>
      <w:p w14:paraId="24E2980B" w14:textId="2933A8FE" w:rsidR="00E11165" w:rsidRPr="006857B7" w:rsidRDefault="00E11165" w:rsidP="00E11165">
        <w:pPr>
          <w:pStyle w:val="ll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857B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857B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857B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857B7">
          <w:rPr>
            <w:rFonts w:ascii="Times New Roman" w:hAnsi="Times New Roman" w:cs="Times New Roman"/>
            <w:sz w:val="24"/>
            <w:szCs w:val="24"/>
          </w:rPr>
          <w:t>2</w:t>
        </w:r>
        <w:r w:rsidRPr="006857B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EA785" w14:textId="77777777" w:rsidR="00AF542A" w:rsidRPr="006857B7" w:rsidRDefault="00AF542A" w:rsidP="00E11165">
      <w:pPr>
        <w:spacing w:after="0" w:line="240" w:lineRule="auto"/>
      </w:pPr>
      <w:r w:rsidRPr="006857B7">
        <w:separator/>
      </w:r>
    </w:p>
  </w:footnote>
  <w:footnote w:type="continuationSeparator" w:id="0">
    <w:p w14:paraId="6240836E" w14:textId="77777777" w:rsidR="00AF542A" w:rsidRPr="006857B7" w:rsidRDefault="00AF542A" w:rsidP="00E11165">
      <w:pPr>
        <w:spacing w:after="0" w:line="240" w:lineRule="auto"/>
      </w:pPr>
      <w:r w:rsidRPr="006857B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E29"/>
    <w:multiLevelType w:val="hybridMultilevel"/>
    <w:tmpl w:val="E1482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5308"/>
    <w:multiLevelType w:val="hybridMultilevel"/>
    <w:tmpl w:val="E1482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33A94"/>
    <w:multiLevelType w:val="hybridMultilevel"/>
    <w:tmpl w:val="CEBEC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450F4"/>
    <w:multiLevelType w:val="hybridMultilevel"/>
    <w:tmpl w:val="E1482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D6E06"/>
    <w:multiLevelType w:val="hybridMultilevel"/>
    <w:tmpl w:val="0C0C63EC"/>
    <w:lvl w:ilvl="0" w:tplc="CD025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DC768"/>
    <w:multiLevelType w:val="hybridMultilevel"/>
    <w:tmpl w:val="3B3A870A"/>
    <w:lvl w:ilvl="0" w:tplc="3544FF4E">
      <w:start w:val="1"/>
      <w:numFmt w:val="decimal"/>
      <w:lvlText w:val="%1."/>
      <w:lvlJc w:val="left"/>
      <w:pPr>
        <w:ind w:left="720" w:hanging="360"/>
      </w:pPr>
    </w:lvl>
    <w:lvl w:ilvl="1" w:tplc="02224200">
      <w:start w:val="1"/>
      <w:numFmt w:val="lowerLetter"/>
      <w:lvlText w:val="%2."/>
      <w:lvlJc w:val="left"/>
      <w:pPr>
        <w:ind w:left="1440" w:hanging="360"/>
      </w:pPr>
    </w:lvl>
    <w:lvl w:ilvl="2" w:tplc="800EFFB8">
      <w:start w:val="1"/>
      <w:numFmt w:val="lowerRoman"/>
      <w:lvlText w:val="%3."/>
      <w:lvlJc w:val="right"/>
      <w:pPr>
        <w:ind w:left="2160" w:hanging="180"/>
      </w:pPr>
    </w:lvl>
    <w:lvl w:ilvl="3" w:tplc="FA3EA65C">
      <w:start w:val="1"/>
      <w:numFmt w:val="decimal"/>
      <w:lvlText w:val="%4."/>
      <w:lvlJc w:val="left"/>
      <w:pPr>
        <w:ind w:left="2880" w:hanging="360"/>
      </w:pPr>
    </w:lvl>
    <w:lvl w:ilvl="4" w:tplc="8CD8E168">
      <w:start w:val="1"/>
      <w:numFmt w:val="lowerLetter"/>
      <w:lvlText w:val="%5."/>
      <w:lvlJc w:val="left"/>
      <w:pPr>
        <w:ind w:left="3600" w:hanging="360"/>
      </w:pPr>
    </w:lvl>
    <w:lvl w:ilvl="5" w:tplc="CC94D934">
      <w:start w:val="1"/>
      <w:numFmt w:val="lowerRoman"/>
      <w:lvlText w:val="%6."/>
      <w:lvlJc w:val="right"/>
      <w:pPr>
        <w:ind w:left="4320" w:hanging="180"/>
      </w:pPr>
    </w:lvl>
    <w:lvl w:ilvl="6" w:tplc="510C8968">
      <w:start w:val="1"/>
      <w:numFmt w:val="decimal"/>
      <w:lvlText w:val="%7."/>
      <w:lvlJc w:val="left"/>
      <w:pPr>
        <w:ind w:left="5040" w:hanging="360"/>
      </w:pPr>
    </w:lvl>
    <w:lvl w:ilvl="7" w:tplc="CA908EFA">
      <w:start w:val="1"/>
      <w:numFmt w:val="lowerLetter"/>
      <w:lvlText w:val="%8."/>
      <w:lvlJc w:val="left"/>
      <w:pPr>
        <w:ind w:left="5760" w:hanging="360"/>
      </w:pPr>
    </w:lvl>
    <w:lvl w:ilvl="8" w:tplc="8F6A7D8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41BCB"/>
    <w:multiLevelType w:val="hybridMultilevel"/>
    <w:tmpl w:val="24CAC3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70D33"/>
    <w:multiLevelType w:val="hybridMultilevel"/>
    <w:tmpl w:val="27C2811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E14DE"/>
    <w:multiLevelType w:val="hybridMultilevel"/>
    <w:tmpl w:val="1DC8DAF6"/>
    <w:lvl w:ilvl="0" w:tplc="A6045F3A">
      <w:start w:val="1"/>
      <w:numFmt w:val="decimal"/>
      <w:lvlText w:val="%1."/>
      <w:lvlJc w:val="left"/>
      <w:pPr>
        <w:ind w:left="720" w:hanging="360"/>
      </w:pPr>
    </w:lvl>
    <w:lvl w:ilvl="1" w:tplc="9CD40786">
      <w:start w:val="1"/>
      <w:numFmt w:val="lowerLetter"/>
      <w:lvlText w:val="%2."/>
      <w:lvlJc w:val="left"/>
      <w:pPr>
        <w:ind w:left="1440" w:hanging="360"/>
      </w:pPr>
    </w:lvl>
    <w:lvl w:ilvl="2" w:tplc="E64EF788">
      <w:start w:val="1"/>
      <w:numFmt w:val="lowerRoman"/>
      <w:lvlText w:val="%3."/>
      <w:lvlJc w:val="right"/>
      <w:pPr>
        <w:ind w:left="2160" w:hanging="180"/>
      </w:pPr>
    </w:lvl>
    <w:lvl w:ilvl="3" w:tplc="A3B87986">
      <w:start w:val="1"/>
      <w:numFmt w:val="decimal"/>
      <w:lvlText w:val="%4."/>
      <w:lvlJc w:val="left"/>
      <w:pPr>
        <w:ind w:left="2880" w:hanging="360"/>
      </w:pPr>
    </w:lvl>
    <w:lvl w:ilvl="4" w:tplc="722C6186">
      <w:start w:val="1"/>
      <w:numFmt w:val="lowerLetter"/>
      <w:lvlText w:val="%5."/>
      <w:lvlJc w:val="left"/>
      <w:pPr>
        <w:ind w:left="3600" w:hanging="360"/>
      </w:pPr>
    </w:lvl>
    <w:lvl w:ilvl="5" w:tplc="B88ECF64">
      <w:start w:val="1"/>
      <w:numFmt w:val="lowerRoman"/>
      <w:lvlText w:val="%6."/>
      <w:lvlJc w:val="right"/>
      <w:pPr>
        <w:ind w:left="4320" w:hanging="180"/>
      </w:pPr>
    </w:lvl>
    <w:lvl w:ilvl="6" w:tplc="A78061CC">
      <w:start w:val="1"/>
      <w:numFmt w:val="decimal"/>
      <w:lvlText w:val="%7."/>
      <w:lvlJc w:val="left"/>
      <w:pPr>
        <w:ind w:left="5040" w:hanging="360"/>
      </w:pPr>
    </w:lvl>
    <w:lvl w:ilvl="7" w:tplc="5D283264">
      <w:start w:val="1"/>
      <w:numFmt w:val="lowerLetter"/>
      <w:lvlText w:val="%8."/>
      <w:lvlJc w:val="left"/>
      <w:pPr>
        <w:ind w:left="5760" w:hanging="360"/>
      </w:pPr>
    </w:lvl>
    <w:lvl w:ilvl="8" w:tplc="97A288A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356BD"/>
    <w:multiLevelType w:val="hybridMultilevel"/>
    <w:tmpl w:val="D3EA54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18A2E"/>
    <w:multiLevelType w:val="hybridMultilevel"/>
    <w:tmpl w:val="FFFFFFFF"/>
    <w:lvl w:ilvl="0" w:tplc="9FC86750">
      <w:start w:val="1"/>
      <w:numFmt w:val="decimal"/>
      <w:lvlText w:val="%1."/>
      <w:lvlJc w:val="left"/>
      <w:pPr>
        <w:ind w:left="927" w:hanging="360"/>
      </w:pPr>
    </w:lvl>
    <w:lvl w:ilvl="1" w:tplc="D5CEF72A">
      <w:start w:val="1"/>
      <w:numFmt w:val="lowerLetter"/>
      <w:lvlText w:val="%2."/>
      <w:lvlJc w:val="left"/>
      <w:pPr>
        <w:ind w:left="1647" w:hanging="360"/>
      </w:pPr>
    </w:lvl>
    <w:lvl w:ilvl="2" w:tplc="BC407354">
      <w:start w:val="1"/>
      <w:numFmt w:val="lowerRoman"/>
      <w:lvlText w:val="%3."/>
      <w:lvlJc w:val="right"/>
      <w:pPr>
        <w:ind w:left="2367" w:hanging="180"/>
      </w:pPr>
    </w:lvl>
    <w:lvl w:ilvl="3" w:tplc="E3D60D1C">
      <w:start w:val="1"/>
      <w:numFmt w:val="decimal"/>
      <w:lvlText w:val="%4."/>
      <w:lvlJc w:val="left"/>
      <w:pPr>
        <w:ind w:left="3087" w:hanging="360"/>
      </w:pPr>
    </w:lvl>
    <w:lvl w:ilvl="4" w:tplc="445AB792">
      <w:start w:val="1"/>
      <w:numFmt w:val="lowerLetter"/>
      <w:lvlText w:val="%5."/>
      <w:lvlJc w:val="left"/>
      <w:pPr>
        <w:ind w:left="3807" w:hanging="360"/>
      </w:pPr>
    </w:lvl>
    <w:lvl w:ilvl="5" w:tplc="D1902A24">
      <w:start w:val="1"/>
      <w:numFmt w:val="lowerRoman"/>
      <w:lvlText w:val="%6."/>
      <w:lvlJc w:val="right"/>
      <w:pPr>
        <w:ind w:left="4527" w:hanging="180"/>
      </w:pPr>
    </w:lvl>
    <w:lvl w:ilvl="6" w:tplc="22603B16">
      <w:start w:val="1"/>
      <w:numFmt w:val="decimal"/>
      <w:lvlText w:val="%7."/>
      <w:lvlJc w:val="left"/>
      <w:pPr>
        <w:ind w:left="5247" w:hanging="360"/>
      </w:pPr>
    </w:lvl>
    <w:lvl w:ilvl="7" w:tplc="457E5AEE">
      <w:start w:val="1"/>
      <w:numFmt w:val="lowerLetter"/>
      <w:lvlText w:val="%8."/>
      <w:lvlJc w:val="left"/>
      <w:pPr>
        <w:ind w:left="5967" w:hanging="360"/>
      </w:pPr>
    </w:lvl>
    <w:lvl w:ilvl="8" w:tplc="BD7A665C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C700F63"/>
    <w:multiLevelType w:val="multilevel"/>
    <w:tmpl w:val="40CE68D8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2" w15:restartNumberingAfterBreak="0">
    <w:nsid w:val="6C0434FC"/>
    <w:multiLevelType w:val="hybridMultilevel"/>
    <w:tmpl w:val="CDA24740"/>
    <w:lvl w:ilvl="0" w:tplc="C076F89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2F46BC"/>
    <w:multiLevelType w:val="hybridMultilevel"/>
    <w:tmpl w:val="8FE00F98"/>
    <w:lvl w:ilvl="0" w:tplc="6008A7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13698193">
    <w:abstractNumId w:val="10"/>
  </w:num>
  <w:num w:numId="2" w16cid:durableId="1338459705">
    <w:abstractNumId w:val="12"/>
  </w:num>
  <w:num w:numId="3" w16cid:durableId="1043603640">
    <w:abstractNumId w:val="4"/>
  </w:num>
  <w:num w:numId="4" w16cid:durableId="1867711971">
    <w:abstractNumId w:val="6"/>
  </w:num>
  <w:num w:numId="5" w16cid:durableId="418598233">
    <w:abstractNumId w:val="11"/>
  </w:num>
  <w:num w:numId="6" w16cid:durableId="1356493762">
    <w:abstractNumId w:val="11"/>
  </w:num>
  <w:num w:numId="7" w16cid:durableId="1848015513">
    <w:abstractNumId w:val="11"/>
  </w:num>
  <w:num w:numId="8" w16cid:durableId="932788780">
    <w:abstractNumId w:val="11"/>
  </w:num>
  <w:num w:numId="9" w16cid:durableId="12562870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3008606">
    <w:abstractNumId w:val="11"/>
  </w:num>
  <w:num w:numId="11" w16cid:durableId="2125415010">
    <w:abstractNumId w:val="2"/>
  </w:num>
  <w:num w:numId="12" w16cid:durableId="549652974">
    <w:abstractNumId w:val="13"/>
  </w:num>
  <w:num w:numId="13" w16cid:durableId="508178602">
    <w:abstractNumId w:val="11"/>
  </w:num>
  <w:num w:numId="14" w16cid:durableId="742022329">
    <w:abstractNumId w:val="1"/>
  </w:num>
  <w:num w:numId="15" w16cid:durableId="352652621">
    <w:abstractNumId w:val="0"/>
  </w:num>
  <w:num w:numId="16" w16cid:durableId="508063728">
    <w:abstractNumId w:val="11"/>
  </w:num>
  <w:num w:numId="17" w16cid:durableId="850408923">
    <w:abstractNumId w:val="11"/>
  </w:num>
  <w:num w:numId="18" w16cid:durableId="1886719838">
    <w:abstractNumId w:val="11"/>
  </w:num>
  <w:num w:numId="19" w16cid:durableId="2135713409">
    <w:abstractNumId w:val="11"/>
  </w:num>
  <w:num w:numId="20" w16cid:durableId="1014766738">
    <w:abstractNumId w:val="11"/>
  </w:num>
  <w:num w:numId="21" w16cid:durableId="218563228">
    <w:abstractNumId w:val="11"/>
  </w:num>
  <w:num w:numId="22" w16cid:durableId="1870487110">
    <w:abstractNumId w:val="11"/>
  </w:num>
  <w:num w:numId="23" w16cid:durableId="1807117043">
    <w:abstractNumId w:val="11"/>
  </w:num>
  <w:num w:numId="24" w16cid:durableId="1366759677">
    <w:abstractNumId w:val="11"/>
  </w:num>
  <w:num w:numId="25" w16cid:durableId="1876624851">
    <w:abstractNumId w:val="11"/>
  </w:num>
  <w:num w:numId="26" w16cid:durableId="2033221068">
    <w:abstractNumId w:val="11"/>
  </w:num>
  <w:num w:numId="27" w16cid:durableId="1734889217">
    <w:abstractNumId w:val="11"/>
  </w:num>
  <w:num w:numId="28" w16cid:durableId="643320531">
    <w:abstractNumId w:val="11"/>
  </w:num>
  <w:num w:numId="29" w16cid:durableId="1116102077">
    <w:abstractNumId w:val="11"/>
  </w:num>
  <w:num w:numId="30" w16cid:durableId="1907178410">
    <w:abstractNumId w:val="3"/>
  </w:num>
  <w:num w:numId="31" w16cid:durableId="548105728">
    <w:abstractNumId w:val="11"/>
  </w:num>
  <w:num w:numId="32" w16cid:durableId="876549179">
    <w:abstractNumId w:val="11"/>
  </w:num>
  <w:num w:numId="33" w16cid:durableId="1222866999">
    <w:abstractNumId w:val="8"/>
  </w:num>
  <w:num w:numId="34" w16cid:durableId="906957310">
    <w:abstractNumId w:val="5"/>
  </w:num>
  <w:num w:numId="35" w16cid:durableId="1607226879">
    <w:abstractNumId w:val="11"/>
  </w:num>
  <w:num w:numId="36" w16cid:durableId="1995181165">
    <w:abstractNumId w:val="11"/>
  </w:num>
  <w:num w:numId="37" w16cid:durableId="1389573069">
    <w:abstractNumId w:val="11"/>
  </w:num>
  <w:num w:numId="38" w16cid:durableId="346060530">
    <w:abstractNumId w:val="11"/>
  </w:num>
  <w:num w:numId="39" w16cid:durableId="626397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35"/>
    <w:rsid w:val="00000B09"/>
    <w:rsid w:val="00002346"/>
    <w:rsid w:val="00003038"/>
    <w:rsid w:val="00003489"/>
    <w:rsid w:val="00006CE4"/>
    <w:rsid w:val="00012D82"/>
    <w:rsid w:val="000152D6"/>
    <w:rsid w:val="000166A9"/>
    <w:rsid w:val="00023B39"/>
    <w:rsid w:val="00026637"/>
    <w:rsid w:val="00026845"/>
    <w:rsid w:val="000300A8"/>
    <w:rsid w:val="0003033F"/>
    <w:rsid w:val="0003098E"/>
    <w:rsid w:val="000319BD"/>
    <w:rsid w:val="00033085"/>
    <w:rsid w:val="00033E92"/>
    <w:rsid w:val="0003403D"/>
    <w:rsid w:val="00036E2D"/>
    <w:rsid w:val="00037D59"/>
    <w:rsid w:val="00040863"/>
    <w:rsid w:val="00040A44"/>
    <w:rsid w:val="00040ED6"/>
    <w:rsid w:val="000508DF"/>
    <w:rsid w:val="000509CB"/>
    <w:rsid w:val="00052772"/>
    <w:rsid w:val="000538F4"/>
    <w:rsid w:val="00054D87"/>
    <w:rsid w:val="00065018"/>
    <w:rsid w:val="0007553B"/>
    <w:rsid w:val="0007603A"/>
    <w:rsid w:val="000766FC"/>
    <w:rsid w:val="00076739"/>
    <w:rsid w:val="000811FA"/>
    <w:rsid w:val="00082AB3"/>
    <w:rsid w:val="00083648"/>
    <w:rsid w:val="00085AD7"/>
    <w:rsid w:val="00085B73"/>
    <w:rsid w:val="00096BEA"/>
    <w:rsid w:val="00096C07"/>
    <w:rsid w:val="00097635"/>
    <w:rsid w:val="00097F81"/>
    <w:rsid w:val="000A23BB"/>
    <w:rsid w:val="000A2C70"/>
    <w:rsid w:val="000A384B"/>
    <w:rsid w:val="000B0D62"/>
    <w:rsid w:val="000C0CB6"/>
    <w:rsid w:val="000C16AD"/>
    <w:rsid w:val="000C1CE9"/>
    <w:rsid w:val="000C3911"/>
    <w:rsid w:val="000C3FD8"/>
    <w:rsid w:val="000C4A0B"/>
    <w:rsid w:val="000C68CA"/>
    <w:rsid w:val="000C78CF"/>
    <w:rsid w:val="000D066F"/>
    <w:rsid w:val="000D2ACD"/>
    <w:rsid w:val="000D374F"/>
    <w:rsid w:val="000D3917"/>
    <w:rsid w:val="000D622E"/>
    <w:rsid w:val="000D66ED"/>
    <w:rsid w:val="000E3F1B"/>
    <w:rsid w:val="000E73EE"/>
    <w:rsid w:val="000F4C51"/>
    <w:rsid w:val="00103BDA"/>
    <w:rsid w:val="00104B63"/>
    <w:rsid w:val="00105A8F"/>
    <w:rsid w:val="0010614F"/>
    <w:rsid w:val="00107C68"/>
    <w:rsid w:val="00113A95"/>
    <w:rsid w:val="00113ADD"/>
    <w:rsid w:val="0011421E"/>
    <w:rsid w:val="00114C4B"/>
    <w:rsid w:val="00116F3D"/>
    <w:rsid w:val="00123379"/>
    <w:rsid w:val="0012722A"/>
    <w:rsid w:val="00127B19"/>
    <w:rsid w:val="00131A3C"/>
    <w:rsid w:val="0013341C"/>
    <w:rsid w:val="0013472D"/>
    <w:rsid w:val="00134952"/>
    <w:rsid w:val="001422E9"/>
    <w:rsid w:val="001438CD"/>
    <w:rsid w:val="00144308"/>
    <w:rsid w:val="001459DF"/>
    <w:rsid w:val="00146635"/>
    <w:rsid w:val="00147014"/>
    <w:rsid w:val="00150DB5"/>
    <w:rsid w:val="0015327E"/>
    <w:rsid w:val="00153961"/>
    <w:rsid w:val="00155B77"/>
    <w:rsid w:val="0016069B"/>
    <w:rsid w:val="001608CD"/>
    <w:rsid w:val="00162C9D"/>
    <w:rsid w:val="00163CB1"/>
    <w:rsid w:val="00163F3D"/>
    <w:rsid w:val="001644D2"/>
    <w:rsid w:val="00167361"/>
    <w:rsid w:val="001700CD"/>
    <w:rsid w:val="00171722"/>
    <w:rsid w:val="0017232C"/>
    <w:rsid w:val="00172D91"/>
    <w:rsid w:val="0017721A"/>
    <w:rsid w:val="00177F34"/>
    <w:rsid w:val="00181232"/>
    <w:rsid w:val="00181935"/>
    <w:rsid w:val="001827D9"/>
    <w:rsid w:val="00182FAD"/>
    <w:rsid w:val="001847F3"/>
    <w:rsid w:val="001852D1"/>
    <w:rsid w:val="00186B6F"/>
    <w:rsid w:val="001877E7"/>
    <w:rsid w:val="00187A4C"/>
    <w:rsid w:val="00192569"/>
    <w:rsid w:val="0019268D"/>
    <w:rsid w:val="00194122"/>
    <w:rsid w:val="001943F3"/>
    <w:rsid w:val="001A1EB9"/>
    <w:rsid w:val="001A35A9"/>
    <w:rsid w:val="001A577F"/>
    <w:rsid w:val="001A6100"/>
    <w:rsid w:val="001A6A7B"/>
    <w:rsid w:val="001B1158"/>
    <w:rsid w:val="001B26CF"/>
    <w:rsid w:val="001B2B87"/>
    <w:rsid w:val="001B3DEE"/>
    <w:rsid w:val="001B4B57"/>
    <w:rsid w:val="001C26C3"/>
    <w:rsid w:val="001C4CD3"/>
    <w:rsid w:val="001C5316"/>
    <w:rsid w:val="001C5EF2"/>
    <w:rsid w:val="001C69CC"/>
    <w:rsid w:val="001D1D44"/>
    <w:rsid w:val="001D29EE"/>
    <w:rsid w:val="001D2D29"/>
    <w:rsid w:val="001D313F"/>
    <w:rsid w:val="001D394D"/>
    <w:rsid w:val="001D3E2E"/>
    <w:rsid w:val="001E0E86"/>
    <w:rsid w:val="001F0199"/>
    <w:rsid w:val="001F07F8"/>
    <w:rsid w:val="001F1977"/>
    <w:rsid w:val="001F2413"/>
    <w:rsid w:val="001F3D29"/>
    <w:rsid w:val="001F46F1"/>
    <w:rsid w:val="001F7186"/>
    <w:rsid w:val="002028BE"/>
    <w:rsid w:val="0020742A"/>
    <w:rsid w:val="00214AF0"/>
    <w:rsid w:val="00220664"/>
    <w:rsid w:val="002206CA"/>
    <w:rsid w:val="00222530"/>
    <w:rsid w:val="00225947"/>
    <w:rsid w:val="00226CA4"/>
    <w:rsid w:val="00227ED7"/>
    <w:rsid w:val="00230362"/>
    <w:rsid w:val="00230EBF"/>
    <w:rsid w:val="00233234"/>
    <w:rsid w:val="00235635"/>
    <w:rsid w:val="00236049"/>
    <w:rsid w:val="002372D2"/>
    <w:rsid w:val="00245F43"/>
    <w:rsid w:val="0025320B"/>
    <w:rsid w:val="002532E5"/>
    <w:rsid w:val="002610A5"/>
    <w:rsid w:val="00261172"/>
    <w:rsid w:val="00261269"/>
    <w:rsid w:val="00263A54"/>
    <w:rsid w:val="002640D9"/>
    <w:rsid w:val="00264E13"/>
    <w:rsid w:val="002701FB"/>
    <w:rsid w:val="00271F98"/>
    <w:rsid w:val="00274E61"/>
    <w:rsid w:val="00275BC6"/>
    <w:rsid w:val="00275FF3"/>
    <w:rsid w:val="002806F9"/>
    <w:rsid w:val="0028159B"/>
    <w:rsid w:val="00282D5A"/>
    <w:rsid w:val="00283F9D"/>
    <w:rsid w:val="00286A17"/>
    <w:rsid w:val="00286A53"/>
    <w:rsid w:val="00290354"/>
    <w:rsid w:val="00291175"/>
    <w:rsid w:val="00292BB8"/>
    <w:rsid w:val="00293338"/>
    <w:rsid w:val="00296ED3"/>
    <w:rsid w:val="002A0616"/>
    <w:rsid w:val="002A2E9A"/>
    <w:rsid w:val="002A41C3"/>
    <w:rsid w:val="002A43C1"/>
    <w:rsid w:val="002A5C6E"/>
    <w:rsid w:val="002A6E4D"/>
    <w:rsid w:val="002B300D"/>
    <w:rsid w:val="002B5B6E"/>
    <w:rsid w:val="002B6206"/>
    <w:rsid w:val="002B6948"/>
    <w:rsid w:val="002C0E90"/>
    <w:rsid w:val="002C274E"/>
    <w:rsid w:val="002C29FC"/>
    <w:rsid w:val="002C3390"/>
    <w:rsid w:val="002C4289"/>
    <w:rsid w:val="002C6FC8"/>
    <w:rsid w:val="002C790E"/>
    <w:rsid w:val="002C7B25"/>
    <w:rsid w:val="002D0F6A"/>
    <w:rsid w:val="002D3601"/>
    <w:rsid w:val="002D4EDD"/>
    <w:rsid w:val="002D549C"/>
    <w:rsid w:val="002D72AC"/>
    <w:rsid w:val="002E2437"/>
    <w:rsid w:val="002E264C"/>
    <w:rsid w:val="002E3F54"/>
    <w:rsid w:val="002E4233"/>
    <w:rsid w:val="002E49F7"/>
    <w:rsid w:val="002F0D04"/>
    <w:rsid w:val="002F1FC6"/>
    <w:rsid w:val="002F37D3"/>
    <w:rsid w:val="002F389A"/>
    <w:rsid w:val="002F40CA"/>
    <w:rsid w:val="002F547C"/>
    <w:rsid w:val="00303219"/>
    <w:rsid w:val="00303914"/>
    <w:rsid w:val="00304908"/>
    <w:rsid w:val="003105B7"/>
    <w:rsid w:val="00310F12"/>
    <w:rsid w:val="003116AD"/>
    <w:rsid w:val="003117EA"/>
    <w:rsid w:val="003118C8"/>
    <w:rsid w:val="00313E11"/>
    <w:rsid w:val="00314198"/>
    <w:rsid w:val="00316719"/>
    <w:rsid w:val="00316889"/>
    <w:rsid w:val="00320CD8"/>
    <w:rsid w:val="00320FEF"/>
    <w:rsid w:val="003233CF"/>
    <w:rsid w:val="003261EC"/>
    <w:rsid w:val="0033022F"/>
    <w:rsid w:val="0033439A"/>
    <w:rsid w:val="0033482F"/>
    <w:rsid w:val="00334CC1"/>
    <w:rsid w:val="00335582"/>
    <w:rsid w:val="00335BB9"/>
    <w:rsid w:val="00335F43"/>
    <w:rsid w:val="00336AFF"/>
    <w:rsid w:val="00337598"/>
    <w:rsid w:val="0034026A"/>
    <w:rsid w:val="00341438"/>
    <w:rsid w:val="0034153F"/>
    <w:rsid w:val="00343ECD"/>
    <w:rsid w:val="00345B8D"/>
    <w:rsid w:val="003526A2"/>
    <w:rsid w:val="00353BA5"/>
    <w:rsid w:val="00356E52"/>
    <w:rsid w:val="00357CC3"/>
    <w:rsid w:val="00361AB1"/>
    <w:rsid w:val="0036221B"/>
    <w:rsid w:val="003658AB"/>
    <w:rsid w:val="00366F3A"/>
    <w:rsid w:val="00367AC3"/>
    <w:rsid w:val="00371AB0"/>
    <w:rsid w:val="00371BBC"/>
    <w:rsid w:val="00372AE6"/>
    <w:rsid w:val="00375AC0"/>
    <w:rsid w:val="00376E3E"/>
    <w:rsid w:val="00382C18"/>
    <w:rsid w:val="0038474F"/>
    <w:rsid w:val="00386796"/>
    <w:rsid w:val="00391485"/>
    <w:rsid w:val="00392883"/>
    <w:rsid w:val="00393887"/>
    <w:rsid w:val="00394642"/>
    <w:rsid w:val="00395E4E"/>
    <w:rsid w:val="00397244"/>
    <w:rsid w:val="00397646"/>
    <w:rsid w:val="003A0E61"/>
    <w:rsid w:val="003A5D7B"/>
    <w:rsid w:val="003A6851"/>
    <w:rsid w:val="003B0187"/>
    <w:rsid w:val="003B1BFC"/>
    <w:rsid w:val="003B267B"/>
    <w:rsid w:val="003C0453"/>
    <w:rsid w:val="003C08F0"/>
    <w:rsid w:val="003C1838"/>
    <w:rsid w:val="003C506C"/>
    <w:rsid w:val="003C61CB"/>
    <w:rsid w:val="003C64E3"/>
    <w:rsid w:val="003D3AC8"/>
    <w:rsid w:val="003D3C3F"/>
    <w:rsid w:val="003D7121"/>
    <w:rsid w:val="003E42E4"/>
    <w:rsid w:val="003E769D"/>
    <w:rsid w:val="003E7A62"/>
    <w:rsid w:val="003E7C35"/>
    <w:rsid w:val="003F02C0"/>
    <w:rsid w:val="003F2A1D"/>
    <w:rsid w:val="003F5862"/>
    <w:rsid w:val="003F64D4"/>
    <w:rsid w:val="003F7CDD"/>
    <w:rsid w:val="00400A55"/>
    <w:rsid w:val="004022BB"/>
    <w:rsid w:val="00402B0C"/>
    <w:rsid w:val="0040580A"/>
    <w:rsid w:val="00405BB5"/>
    <w:rsid w:val="00405C02"/>
    <w:rsid w:val="00410A5E"/>
    <w:rsid w:val="004116DA"/>
    <w:rsid w:val="004117AB"/>
    <w:rsid w:val="004134A0"/>
    <w:rsid w:val="00417C26"/>
    <w:rsid w:val="004207B7"/>
    <w:rsid w:val="0042288E"/>
    <w:rsid w:val="004235E5"/>
    <w:rsid w:val="00425FCC"/>
    <w:rsid w:val="00427050"/>
    <w:rsid w:val="00431030"/>
    <w:rsid w:val="004313FB"/>
    <w:rsid w:val="0043240F"/>
    <w:rsid w:val="00435344"/>
    <w:rsid w:val="00435846"/>
    <w:rsid w:val="00435D89"/>
    <w:rsid w:val="00436271"/>
    <w:rsid w:val="00443AA2"/>
    <w:rsid w:val="00443EFA"/>
    <w:rsid w:val="004443A7"/>
    <w:rsid w:val="00445FC8"/>
    <w:rsid w:val="004464BB"/>
    <w:rsid w:val="00447C32"/>
    <w:rsid w:val="00451028"/>
    <w:rsid w:val="00451986"/>
    <w:rsid w:val="004539B8"/>
    <w:rsid w:val="00460162"/>
    <w:rsid w:val="00460E15"/>
    <w:rsid w:val="00461179"/>
    <w:rsid w:val="004677B6"/>
    <w:rsid w:val="0047017B"/>
    <w:rsid w:val="00471162"/>
    <w:rsid w:val="00471B44"/>
    <w:rsid w:val="004726D2"/>
    <w:rsid w:val="0047359D"/>
    <w:rsid w:val="00473ED1"/>
    <w:rsid w:val="0047588F"/>
    <w:rsid w:val="00475EDC"/>
    <w:rsid w:val="00477AD8"/>
    <w:rsid w:val="00481D16"/>
    <w:rsid w:val="004857A3"/>
    <w:rsid w:val="004861DF"/>
    <w:rsid w:val="00487DE4"/>
    <w:rsid w:val="004900AE"/>
    <w:rsid w:val="004947AE"/>
    <w:rsid w:val="00495958"/>
    <w:rsid w:val="00497E85"/>
    <w:rsid w:val="004A4E6D"/>
    <w:rsid w:val="004B2953"/>
    <w:rsid w:val="004B6B9D"/>
    <w:rsid w:val="004B71C1"/>
    <w:rsid w:val="004B78F3"/>
    <w:rsid w:val="004C0740"/>
    <w:rsid w:val="004C660B"/>
    <w:rsid w:val="004D1752"/>
    <w:rsid w:val="004D49F6"/>
    <w:rsid w:val="004D4B5A"/>
    <w:rsid w:val="004D51E1"/>
    <w:rsid w:val="004D6DBE"/>
    <w:rsid w:val="004E09CA"/>
    <w:rsid w:val="004E0D9C"/>
    <w:rsid w:val="004E17E1"/>
    <w:rsid w:val="004E4AFA"/>
    <w:rsid w:val="004E62E4"/>
    <w:rsid w:val="004F10C4"/>
    <w:rsid w:val="004F611D"/>
    <w:rsid w:val="004F6E29"/>
    <w:rsid w:val="005003F6"/>
    <w:rsid w:val="005017DE"/>
    <w:rsid w:val="00501F52"/>
    <w:rsid w:val="00502BF3"/>
    <w:rsid w:val="00502C29"/>
    <w:rsid w:val="00502DD3"/>
    <w:rsid w:val="00503BC3"/>
    <w:rsid w:val="00505BA2"/>
    <w:rsid w:val="005118A7"/>
    <w:rsid w:val="0051238C"/>
    <w:rsid w:val="0051317C"/>
    <w:rsid w:val="005139C9"/>
    <w:rsid w:val="0051480C"/>
    <w:rsid w:val="0051755D"/>
    <w:rsid w:val="00517C60"/>
    <w:rsid w:val="00521D61"/>
    <w:rsid w:val="00522F50"/>
    <w:rsid w:val="005245A5"/>
    <w:rsid w:val="00525A2C"/>
    <w:rsid w:val="00525B7D"/>
    <w:rsid w:val="00526A9E"/>
    <w:rsid w:val="00526DCB"/>
    <w:rsid w:val="00534024"/>
    <w:rsid w:val="005401F2"/>
    <w:rsid w:val="005434AA"/>
    <w:rsid w:val="0054365F"/>
    <w:rsid w:val="00547C6E"/>
    <w:rsid w:val="005519DA"/>
    <w:rsid w:val="005633F4"/>
    <w:rsid w:val="00564C92"/>
    <w:rsid w:val="00565D2C"/>
    <w:rsid w:val="00566BFA"/>
    <w:rsid w:val="00570609"/>
    <w:rsid w:val="0057220F"/>
    <w:rsid w:val="005741D9"/>
    <w:rsid w:val="00574205"/>
    <w:rsid w:val="005811D8"/>
    <w:rsid w:val="0058214C"/>
    <w:rsid w:val="00582332"/>
    <w:rsid w:val="00584D56"/>
    <w:rsid w:val="005860C2"/>
    <w:rsid w:val="00587092"/>
    <w:rsid w:val="005877F4"/>
    <w:rsid w:val="005902CE"/>
    <w:rsid w:val="00594E8B"/>
    <w:rsid w:val="0059568B"/>
    <w:rsid w:val="005A5430"/>
    <w:rsid w:val="005A678B"/>
    <w:rsid w:val="005B15DD"/>
    <w:rsid w:val="005B2EB0"/>
    <w:rsid w:val="005B30AF"/>
    <w:rsid w:val="005B3DFA"/>
    <w:rsid w:val="005B708E"/>
    <w:rsid w:val="005B76E0"/>
    <w:rsid w:val="005C35FB"/>
    <w:rsid w:val="005C575B"/>
    <w:rsid w:val="005C59BE"/>
    <w:rsid w:val="005C6692"/>
    <w:rsid w:val="005D108C"/>
    <w:rsid w:val="005D1DA3"/>
    <w:rsid w:val="005D233D"/>
    <w:rsid w:val="005D50BE"/>
    <w:rsid w:val="005D677F"/>
    <w:rsid w:val="005E1B2E"/>
    <w:rsid w:val="005E5B56"/>
    <w:rsid w:val="005E6224"/>
    <w:rsid w:val="005F12CB"/>
    <w:rsid w:val="005F1FE4"/>
    <w:rsid w:val="005F583A"/>
    <w:rsid w:val="005F7E8D"/>
    <w:rsid w:val="0060023F"/>
    <w:rsid w:val="00602763"/>
    <w:rsid w:val="00604772"/>
    <w:rsid w:val="00604840"/>
    <w:rsid w:val="00606A29"/>
    <w:rsid w:val="006123D7"/>
    <w:rsid w:val="0061607F"/>
    <w:rsid w:val="006177CB"/>
    <w:rsid w:val="00621F93"/>
    <w:rsid w:val="00626DCF"/>
    <w:rsid w:val="006278F3"/>
    <w:rsid w:val="00627AD1"/>
    <w:rsid w:val="00630635"/>
    <w:rsid w:val="00632561"/>
    <w:rsid w:val="00636A31"/>
    <w:rsid w:val="00637726"/>
    <w:rsid w:val="00643BC6"/>
    <w:rsid w:val="006448FA"/>
    <w:rsid w:val="0064493B"/>
    <w:rsid w:val="006449FE"/>
    <w:rsid w:val="00652A9F"/>
    <w:rsid w:val="00652BCD"/>
    <w:rsid w:val="006560A2"/>
    <w:rsid w:val="006579B8"/>
    <w:rsid w:val="00657E9E"/>
    <w:rsid w:val="0066060C"/>
    <w:rsid w:val="00662A79"/>
    <w:rsid w:val="00667C6A"/>
    <w:rsid w:val="0067107C"/>
    <w:rsid w:val="006725B0"/>
    <w:rsid w:val="006763F6"/>
    <w:rsid w:val="0068039B"/>
    <w:rsid w:val="006808B3"/>
    <w:rsid w:val="006820E0"/>
    <w:rsid w:val="00683A1A"/>
    <w:rsid w:val="006857B7"/>
    <w:rsid w:val="00686515"/>
    <w:rsid w:val="00687513"/>
    <w:rsid w:val="00687C6A"/>
    <w:rsid w:val="00692DBF"/>
    <w:rsid w:val="0069499E"/>
    <w:rsid w:val="006963FA"/>
    <w:rsid w:val="00696E25"/>
    <w:rsid w:val="00697F4C"/>
    <w:rsid w:val="006A1A36"/>
    <w:rsid w:val="006A2B56"/>
    <w:rsid w:val="006A2F31"/>
    <w:rsid w:val="006B1313"/>
    <w:rsid w:val="006B1A10"/>
    <w:rsid w:val="006C26EA"/>
    <w:rsid w:val="006C2E15"/>
    <w:rsid w:val="006C314F"/>
    <w:rsid w:val="006C5B7B"/>
    <w:rsid w:val="006C6403"/>
    <w:rsid w:val="006C6C04"/>
    <w:rsid w:val="006D30BB"/>
    <w:rsid w:val="006D3A6F"/>
    <w:rsid w:val="006E253D"/>
    <w:rsid w:val="006E2979"/>
    <w:rsid w:val="006E36D3"/>
    <w:rsid w:val="006E3E46"/>
    <w:rsid w:val="006E4954"/>
    <w:rsid w:val="006E6C3A"/>
    <w:rsid w:val="006E6D03"/>
    <w:rsid w:val="006E7F20"/>
    <w:rsid w:val="006F165B"/>
    <w:rsid w:val="006F1E12"/>
    <w:rsid w:val="006F34B9"/>
    <w:rsid w:val="00700598"/>
    <w:rsid w:val="0070088A"/>
    <w:rsid w:val="007029C8"/>
    <w:rsid w:val="0070416A"/>
    <w:rsid w:val="007041C7"/>
    <w:rsid w:val="00704AA9"/>
    <w:rsid w:val="00713715"/>
    <w:rsid w:val="007139C2"/>
    <w:rsid w:val="00714EBC"/>
    <w:rsid w:val="0071543C"/>
    <w:rsid w:val="007154BF"/>
    <w:rsid w:val="007179D2"/>
    <w:rsid w:val="00721FD9"/>
    <w:rsid w:val="0073453C"/>
    <w:rsid w:val="00751E19"/>
    <w:rsid w:val="00751FB6"/>
    <w:rsid w:val="007542F0"/>
    <w:rsid w:val="00761971"/>
    <w:rsid w:val="00764BA1"/>
    <w:rsid w:val="00765EAD"/>
    <w:rsid w:val="00767EA7"/>
    <w:rsid w:val="00771E93"/>
    <w:rsid w:val="00777962"/>
    <w:rsid w:val="00790034"/>
    <w:rsid w:val="007920B2"/>
    <w:rsid w:val="00792D3A"/>
    <w:rsid w:val="00794BC1"/>
    <w:rsid w:val="007A0265"/>
    <w:rsid w:val="007A110B"/>
    <w:rsid w:val="007A52A0"/>
    <w:rsid w:val="007B0356"/>
    <w:rsid w:val="007B087D"/>
    <w:rsid w:val="007B394B"/>
    <w:rsid w:val="007B6A91"/>
    <w:rsid w:val="007C0C75"/>
    <w:rsid w:val="007C1C11"/>
    <w:rsid w:val="007C43F3"/>
    <w:rsid w:val="007C4DF7"/>
    <w:rsid w:val="007D04C8"/>
    <w:rsid w:val="007D0CCA"/>
    <w:rsid w:val="007D3752"/>
    <w:rsid w:val="007D4B1B"/>
    <w:rsid w:val="007D55B2"/>
    <w:rsid w:val="007D69FB"/>
    <w:rsid w:val="007D7DB7"/>
    <w:rsid w:val="007E19F9"/>
    <w:rsid w:val="007E280F"/>
    <w:rsid w:val="007E47EF"/>
    <w:rsid w:val="007E5415"/>
    <w:rsid w:val="007E5501"/>
    <w:rsid w:val="007F5AF9"/>
    <w:rsid w:val="007F69A3"/>
    <w:rsid w:val="007F7C81"/>
    <w:rsid w:val="00802AF5"/>
    <w:rsid w:val="00802D8D"/>
    <w:rsid w:val="008106DF"/>
    <w:rsid w:val="00811880"/>
    <w:rsid w:val="00822BBE"/>
    <w:rsid w:val="00824976"/>
    <w:rsid w:val="00824B5E"/>
    <w:rsid w:val="008252B3"/>
    <w:rsid w:val="008252D1"/>
    <w:rsid w:val="0083077A"/>
    <w:rsid w:val="00830FFE"/>
    <w:rsid w:val="0083125D"/>
    <w:rsid w:val="00832147"/>
    <w:rsid w:val="0083310C"/>
    <w:rsid w:val="0083317D"/>
    <w:rsid w:val="00834EBB"/>
    <w:rsid w:val="00840DDB"/>
    <w:rsid w:val="00845245"/>
    <w:rsid w:val="00845793"/>
    <w:rsid w:val="00847366"/>
    <w:rsid w:val="00851DCC"/>
    <w:rsid w:val="008544A3"/>
    <w:rsid w:val="00855090"/>
    <w:rsid w:val="00855487"/>
    <w:rsid w:val="00855815"/>
    <w:rsid w:val="00856103"/>
    <w:rsid w:val="008579D3"/>
    <w:rsid w:val="0086241E"/>
    <w:rsid w:val="008645E5"/>
    <w:rsid w:val="008649A8"/>
    <w:rsid w:val="0087677A"/>
    <w:rsid w:val="00884F1C"/>
    <w:rsid w:val="00885487"/>
    <w:rsid w:val="00887759"/>
    <w:rsid w:val="00895DEB"/>
    <w:rsid w:val="0089631C"/>
    <w:rsid w:val="008A0108"/>
    <w:rsid w:val="008A0D90"/>
    <w:rsid w:val="008A221B"/>
    <w:rsid w:val="008A3796"/>
    <w:rsid w:val="008A3BA7"/>
    <w:rsid w:val="008A6A19"/>
    <w:rsid w:val="008A7BE6"/>
    <w:rsid w:val="008A7E26"/>
    <w:rsid w:val="008B0FF4"/>
    <w:rsid w:val="008B322D"/>
    <w:rsid w:val="008B7289"/>
    <w:rsid w:val="008B7290"/>
    <w:rsid w:val="008B73B7"/>
    <w:rsid w:val="008B7FC7"/>
    <w:rsid w:val="008C00FF"/>
    <w:rsid w:val="008C0F8F"/>
    <w:rsid w:val="008D08E2"/>
    <w:rsid w:val="008D5253"/>
    <w:rsid w:val="008E0DBE"/>
    <w:rsid w:val="008E0EFD"/>
    <w:rsid w:val="008E2584"/>
    <w:rsid w:val="008E4FA5"/>
    <w:rsid w:val="008E5B12"/>
    <w:rsid w:val="008F081A"/>
    <w:rsid w:val="008F0A45"/>
    <w:rsid w:val="008F2798"/>
    <w:rsid w:val="008F2DF0"/>
    <w:rsid w:val="008F54F6"/>
    <w:rsid w:val="008F7285"/>
    <w:rsid w:val="0090633F"/>
    <w:rsid w:val="00907ACA"/>
    <w:rsid w:val="00920777"/>
    <w:rsid w:val="00921531"/>
    <w:rsid w:val="009249D0"/>
    <w:rsid w:val="00926985"/>
    <w:rsid w:val="00930CAD"/>
    <w:rsid w:val="009311CF"/>
    <w:rsid w:val="009329A3"/>
    <w:rsid w:val="00942838"/>
    <w:rsid w:val="00942CCF"/>
    <w:rsid w:val="00951A3F"/>
    <w:rsid w:val="0095395F"/>
    <w:rsid w:val="00954BD3"/>
    <w:rsid w:val="00967DF2"/>
    <w:rsid w:val="0098093F"/>
    <w:rsid w:val="00982D6F"/>
    <w:rsid w:val="009835C5"/>
    <w:rsid w:val="00984126"/>
    <w:rsid w:val="00985AFA"/>
    <w:rsid w:val="00986FF8"/>
    <w:rsid w:val="009904C1"/>
    <w:rsid w:val="009911B3"/>
    <w:rsid w:val="0099150B"/>
    <w:rsid w:val="0099392D"/>
    <w:rsid w:val="00994A90"/>
    <w:rsid w:val="00995476"/>
    <w:rsid w:val="009A08AF"/>
    <w:rsid w:val="009A3115"/>
    <w:rsid w:val="009A33AF"/>
    <w:rsid w:val="009A4554"/>
    <w:rsid w:val="009A4E7F"/>
    <w:rsid w:val="009A5D30"/>
    <w:rsid w:val="009B25EC"/>
    <w:rsid w:val="009B5356"/>
    <w:rsid w:val="009C132C"/>
    <w:rsid w:val="009C2A83"/>
    <w:rsid w:val="009C5722"/>
    <w:rsid w:val="009C73E2"/>
    <w:rsid w:val="009D0D6A"/>
    <w:rsid w:val="009D1D46"/>
    <w:rsid w:val="009D2081"/>
    <w:rsid w:val="009E01DC"/>
    <w:rsid w:val="009E0418"/>
    <w:rsid w:val="009E1986"/>
    <w:rsid w:val="009E1B55"/>
    <w:rsid w:val="009E796E"/>
    <w:rsid w:val="009F0713"/>
    <w:rsid w:val="009F15CE"/>
    <w:rsid w:val="009F6A8D"/>
    <w:rsid w:val="009F7275"/>
    <w:rsid w:val="009F7415"/>
    <w:rsid w:val="00A06489"/>
    <w:rsid w:val="00A0656E"/>
    <w:rsid w:val="00A07F79"/>
    <w:rsid w:val="00A10C60"/>
    <w:rsid w:val="00A13773"/>
    <w:rsid w:val="00A138B5"/>
    <w:rsid w:val="00A13923"/>
    <w:rsid w:val="00A13A46"/>
    <w:rsid w:val="00A168F1"/>
    <w:rsid w:val="00A16A59"/>
    <w:rsid w:val="00A23F26"/>
    <w:rsid w:val="00A24159"/>
    <w:rsid w:val="00A243FA"/>
    <w:rsid w:val="00A250B2"/>
    <w:rsid w:val="00A2528C"/>
    <w:rsid w:val="00A25D64"/>
    <w:rsid w:val="00A3054A"/>
    <w:rsid w:val="00A34894"/>
    <w:rsid w:val="00A3717F"/>
    <w:rsid w:val="00A422E1"/>
    <w:rsid w:val="00A51043"/>
    <w:rsid w:val="00A52417"/>
    <w:rsid w:val="00A52BF6"/>
    <w:rsid w:val="00A568CA"/>
    <w:rsid w:val="00A56D33"/>
    <w:rsid w:val="00A610C6"/>
    <w:rsid w:val="00A61631"/>
    <w:rsid w:val="00A6189D"/>
    <w:rsid w:val="00A6196D"/>
    <w:rsid w:val="00A61FAD"/>
    <w:rsid w:val="00A6222E"/>
    <w:rsid w:val="00A6465E"/>
    <w:rsid w:val="00A66F15"/>
    <w:rsid w:val="00A6709D"/>
    <w:rsid w:val="00A717F0"/>
    <w:rsid w:val="00A71921"/>
    <w:rsid w:val="00A7245E"/>
    <w:rsid w:val="00A7529C"/>
    <w:rsid w:val="00A75D34"/>
    <w:rsid w:val="00A80BCA"/>
    <w:rsid w:val="00A8627C"/>
    <w:rsid w:val="00A93422"/>
    <w:rsid w:val="00A95BC2"/>
    <w:rsid w:val="00AA08DD"/>
    <w:rsid w:val="00AA1B90"/>
    <w:rsid w:val="00AA237C"/>
    <w:rsid w:val="00AA3C28"/>
    <w:rsid w:val="00AB02C6"/>
    <w:rsid w:val="00AB17D9"/>
    <w:rsid w:val="00AB44E6"/>
    <w:rsid w:val="00AC072E"/>
    <w:rsid w:val="00AC4EB3"/>
    <w:rsid w:val="00AC55F1"/>
    <w:rsid w:val="00AC6310"/>
    <w:rsid w:val="00AC6639"/>
    <w:rsid w:val="00AD037F"/>
    <w:rsid w:val="00AD25D4"/>
    <w:rsid w:val="00AD4C3C"/>
    <w:rsid w:val="00AE180B"/>
    <w:rsid w:val="00AE2E77"/>
    <w:rsid w:val="00AE2F7C"/>
    <w:rsid w:val="00AE4D0B"/>
    <w:rsid w:val="00AF243E"/>
    <w:rsid w:val="00AF39B5"/>
    <w:rsid w:val="00AF4F50"/>
    <w:rsid w:val="00AF542A"/>
    <w:rsid w:val="00B01838"/>
    <w:rsid w:val="00B0332B"/>
    <w:rsid w:val="00B059D8"/>
    <w:rsid w:val="00B10097"/>
    <w:rsid w:val="00B107D8"/>
    <w:rsid w:val="00B1274F"/>
    <w:rsid w:val="00B17BBB"/>
    <w:rsid w:val="00B17D4A"/>
    <w:rsid w:val="00B20DE7"/>
    <w:rsid w:val="00B215F5"/>
    <w:rsid w:val="00B23C76"/>
    <w:rsid w:val="00B24887"/>
    <w:rsid w:val="00B24D86"/>
    <w:rsid w:val="00B2749B"/>
    <w:rsid w:val="00B32A69"/>
    <w:rsid w:val="00B32C0A"/>
    <w:rsid w:val="00B347A2"/>
    <w:rsid w:val="00B34921"/>
    <w:rsid w:val="00B3616F"/>
    <w:rsid w:val="00B36290"/>
    <w:rsid w:val="00B369FE"/>
    <w:rsid w:val="00B37648"/>
    <w:rsid w:val="00B4180D"/>
    <w:rsid w:val="00B42B1E"/>
    <w:rsid w:val="00B4366B"/>
    <w:rsid w:val="00B44EE3"/>
    <w:rsid w:val="00B51872"/>
    <w:rsid w:val="00B52695"/>
    <w:rsid w:val="00B54016"/>
    <w:rsid w:val="00B54136"/>
    <w:rsid w:val="00B567C2"/>
    <w:rsid w:val="00B570F1"/>
    <w:rsid w:val="00B605BC"/>
    <w:rsid w:val="00B61FD4"/>
    <w:rsid w:val="00B7093B"/>
    <w:rsid w:val="00B7420C"/>
    <w:rsid w:val="00B742DD"/>
    <w:rsid w:val="00B900F6"/>
    <w:rsid w:val="00B91510"/>
    <w:rsid w:val="00B91783"/>
    <w:rsid w:val="00B92D70"/>
    <w:rsid w:val="00B9489B"/>
    <w:rsid w:val="00BA21F9"/>
    <w:rsid w:val="00BA288C"/>
    <w:rsid w:val="00BA2CBA"/>
    <w:rsid w:val="00BA417E"/>
    <w:rsid w:val="00BA4591"/>
    <w:rsid w:val="00BA4CD1"/>
    <w:rsid w:val="00BB27AA"/>
    <w:rsid w:val="00BB2CC3"/>
    <w:rsid w:val="00BB2EA4"/>
    <w:rsid w:val="00BC021D"/>
    <w:rsid w:val="00BC210F"/>
    <w:rsid w:val="00BC2A5C"/>
    <w:rsid w:val="00BC33B3"/>
    <w:rsid w:val="00BC35D1"/>
    <w:rsid w:val="00BC3B49"/>
    <w:rsid w:val="00BC48F8"/>
    <w:rsid w:val="00BC5BA5"/>
    <w:rsid w:val="00BC5E26"/>
    <w:rsid w:val="00BC605C"/>
    <w:rsid w:val="00BC68C0"/>
    <w:rsid w:val="00BC6985"/>
    <w:rsid w:val="00BD08C1"/>
    <w:rsid w:val="00BD0C98"/>
    <w:rsid w:val="00BD4578"/>
    <w:rsid w:val="00BE090E"/>
    <w:rsid w:val="00BE1B98"/>
    <w:rsid w:val="00BE371C"/>
    <w:rsid w:val="00BE4058"/>
    <w:rsid w:val="00BE5BAC"/>
    <w:rsid w:val="00BE6132"/>
    <w:rsid w:val="00BE6194"/>
    <w:rsid w:val="00BE6274"/>
    <w:rsid w:val="00BE7DCE"/>
    <w:rsid w:val="00BF0A2B"/>
    <w:rsid w:val="00BF1A2E"/>
    <w:rsid w:val="00BF30B9"/>
    <w:rsid w:val="00BF3E5C"/>
    <w:rsid w:val="00C010CA"/>
    <w:rsid w:val="00C0192A"/>
    <w:rsid w:val="00C031D3"/>
    <w:rsid w:val="00C0432E"/>
    <w:rsid w:val="00C049EC"/>
    <w:rsid w:val="00C12803"/>
    <w:rsid w:val="00C1556F"/>
    <w:rsid w:val="00C177E1"/>
    <w:rsid w:val="00C17B95"/>
    <w:rsid w:val="00C20BC8"/>
    <w:rsid w:val="00C22DB4"/>
    <w:rsid w:val="00C23819"/>
    <w:rsid w:val="00C3072F"/>
    <w:rsid w:val="00C3147E"/>
    <w:rsid w:val="00C321C3"/>
    <w:rsid w:val="00C34576"/>
    <w:rsid w:val="00C36D2F"/>
    <w:rsid w:val="00C404D1"/>
    <w:rsid w:val="00C40EDA"/>
    <w:rsid w:val="00C443A8"/>
    <w:rsid w:val="00C453E8"/>
    <w:rsid w:val="00C4684C"/>
    <w:rsid w:val="00C50DC0"/>
    <w:rsid w:val="00C5391F"/>
    <w:rsid w:val="00C5558F"/>
    <w:rsid w:val="00C56890"/>
    <w:rsid w:val="00C57B4E"/>
    <w:rsid w:val="00C60E90"/>
    <w:rsid w:val="00C616A6"/>
    <w:rsid w:val="00C61AD4"/>
    <w:rsid w:val="00C6435A"/>
    <w:rsid w:val="00C64D30"/>
    <w:rsid w:val="00C65297"/>
    <w:rsid w:val="00C70D68"/>
    <w:rsid w:val="00C71640"/>
    <w:rsid w:val="00C7310A"/>
    <w:rsid w:val="00C76ADA"/>
    <w:rsid w:val="00C76BA6"/>
    <w:rsid w:val="00C76CE1"/>
    <w:rsid w:val="00C85800"/>
    <w:rsid w:val="00C8713E"/>
    <w:rsid w:val="00C87E94"/>
    <w:rsid w:val="00C913C2"/>
    <w:rsid w:val="00C93B37"/>
    <w:rsid w:val="00C96FC1"/>
    <w:rsid w:val="00CA172C"/>
    <w:rsid w:val="00CA1829"/>
    <w:rsid w:val="00CA2004"/>
    <w:rsid w:val="00CA338A"/>
    <w:rsid w:val="00CA37F8"/>
    <w:rsid w:val="00CA7A72"/>
    <w:rsid w:val="00CA7EC5"/>
    <w:rsid w:val="00CB0F34"/>
    <w:rsid w:val="00CB3325"/>
    <w:rsid w:val="00CB4CBA"/>
    <w:rsid w:val="00CC1136"/>
    <w:rsid w:val="00CC4257"/>
    <w:rsid w:val="00CC666F"/>
    <w:rsid w:val="00CD121A"/>
    <w:rsid w:val="00CD1CF7"/>
    <w:rsid w:val="00CD3D61"/>
    <w:rsid w:val="00CD5331"/>
    <w:rsid w:val="00CD6C8D"/>
    <w:rsid w:val="00CE1E26"/>
    <w:rsid w:val="00CE3D18"/>
    <w:rsid w:val="00CE4527"/>
    <w:rsid w:val="00CE5E5D"/>
    <w:rsid w:val="00CE7582"/>
    <w:rsid w:val="00CF1A88"/>
    <w:rsid w:val="00CF1DD9"/>
    <w:rsid w:val="00CF25EF"/>
    <w:rsid w:val="00CF5D56"/>
    <w:rsid w:val="00CF6B06"/>
    <w:rsid w:val="00CF75D8"/>
    <w:rsid w:val="00D019AB"/>
    <w:rsid w:val="00D027A1"/>
    <w:rsid w:val="00D0583C"/>
    <w:rsid w:val="00D07D5A"/>
    <w:rsid w:val="00D10BF9"/>
    <w:rsid w:val="00D13441"/>
    <w:rsid w:val="00D14F85"/>
    <w:rsid w:val="00D170CA"/>
    <w:rsid w:val="00D172FA"/>
    <w:rsid w:val="00D1742F"/>
    <w:rsid w:val="00D22FBA"/>
    <w:rsid w:val="00D26F6E"/>
    <w:rsid w:val="00D315C3"/>
    <w:rsid w:val="00D345C3"/>
    <w:rsid w:val="00D347F1"/>
    <w:rsid w:val="00D35487"/>
    <w:rsid w:val="00D4330C"/>
    <w:rsid w:val="00D456B3"/>
    <w:rsid w:val="00D45E14"/>
    <w:rsid w:val="00D52433"/>
    <w:rsid w:val="00D54956"/>
    <w:rsid w:val="00D5546A"/>
    <w:rsid w:val="00D557B8"/>
    <w:rsid w:val="00D6153C"/>
    <w:rsid w:val="00D6254E"/>
    <w:rsid w:val="00D63F09"/>
    <w:rsid w:val="00D65E45"/>
    <w:rsid w:val="00D6677B"/>
    <w:rsid w:val="00D7012C"/>
    <w:rsid w:val="00D70CD7"/>
    <w:rsid w:val="00D717ED"/>
    <w:rsid w:val="00D71857"/>
    <w:rsid w:val="00D72CCA"/>
    <w:rsid w:val="00D768A9"/>
    <w:rsid w:val="00D776FE"/>
    <w:rsid w:val="00D81985"/>
    <w:rsid w:val="00D84C7D"/>
    <w:rsid w:val="00D84C9A"/>
    <w:rsid w:val="00D85BA4"/>
    <w:rsid w:val="00D936E5"/>
    <w:rsid w:val="00D9389E"/>
    <w:rsid w:val="00D93ABB"/>
    <w:rsid w:val="00D94416"/>
    <w:rsid w:val="00D94FF7"/>
    <w:rsid w:val="00DA0463"/>
    <w:rsid w:val="00DA2371"/>
    <w:rsid w:val="00DA31FE"/>
    <w:rsid w:val="00DA32DF"/>
    <w:rsid w:val="00DA4525"/>
    <w:rsid w:val="00DA7307"/>
    <w:rsid w:val="00DB0F03"/>
    <w:rsid w:val="00DB165A"/>
    <w:rsid w:val="00DB383E"/>
    <w:rsid w:val="00DC06D8"/>
    <w:rsid w:val="00DC0815"/>
    <w:rsid w:val="00DC0CDB"/>
    <w:rsid w:val="00DC0CF6"/>
    <w:rsid w:val="00DC25A5"/>
    <w:rsid w:val="00DC76B7"/>
    <w:rsid w:val="00DC7F4A"/>
    <w:rsid w:val="00DD07C2"/>
    <w:rsid w:val="00DD147F"/>
    <w:rsid w:val="00DD4BD0"/>
    <w:rsid w:val="00DD76CB"/>
    <w:rsid w:val="00DE0403"/>
    <w:rsid w:val="00DE41B3"/>
    <w:rsid w:val="00DF51B1"/>
    <w:rsid w:val="00DF66D7"/>
    <w:rsid w:val="00E01B28"/>
    <w:rsid w:val="00E01D08"/>
    <w:rsid w:val="00E11165"/>
    <w:rsid w:val="00E12ACC"/>
    <w:rsid w:val="00E13C43"/>
    <w:rsid w:val="00E14C69"/>
    <w:rsid w:val="00E16CC5"/>
    <w:rsid w:val="00E20323"/>
    <w:rsid w:val="00E22097"/>
    <w:rsid w:val="00E23565"/>
    <w:rsid w:val="00E23BCC"/>
    <w:rsid w:val="00E25DC0"/>
    <w:rsid w:val="00E2707B"/>
    <w:rsid w:val="00E27FAB"/>
    <w:rsid w:val="00E312C6"/>
    <w:rsid w:val="00E338B0"/>
    <w:rsid w:val="00E34C0E"/>
    <w:rsid w:val="00E40908"/>
    <w:rsid w:val="00E4120E"/>
    <w:rsid w:val="00E43EB2"/>
    <w:rsid w:val="00E44677"/>
    <w:rsid w:val="00E53800"/>
    <w:rsid w:val="00E543AD"/>
    <w:rsid w:val="00E56265"/>
    <w:rsid w:val="00E6034B"/>
    <w:rsid w:val="00E62931"/>
    <w:rsid w:val="00E6400F"/>
    <w:rsid w:val="00E66488"/>
    <w:rsid w:val="00E707ED"/>
    <w:rsid w:val="00E71724"/>
    <w:rsid w:val="00E77548"/>
    <w:rsid w:val="00E779D5"/>
    <w:rsid w:val="00E805C8"/>
    <w:rsid w:val="00E807A2"/>
    <w:rsid w:val="00E80937"/>
    <w:rsid w:val="00E80FAB"/>
    <w:rsid w:val="00E863F1"/>
    <w:rsid w:val="00E86489"/>
    <w:rsid w:val="00E866EB"/>
    <w:rsid w:val="00E86724"/>
    <w:rsid w:val="00E909D7"/>
    <w:rsid w:val="00E913B7"/>
    <w:rsid w:val="00E919E4"/>
    <w:rsid w:val="00E92BC7"/>
    <w:rsid w:val="00E9472D"/>
    <w:rsid w:val="00E94784"/>
    <w:rsid w:val="00E948C3"/>
    <w:rsid w:val="00E97453"/>
    <w:rsid w:val="00E97695"/>
    <w:rsid w:val="00EA41A7"/>
    <w:rsid w:val="00EA596D"/>
    <w:rsid w:val="00EB79AA"/>
    <w:rsid w:val="00EC064E"/>
    <w:rsid w:val="00EC0759"/>
    <w:rsid w:val="00EC1C7C"/>
    <w:rsid w:val="00EC4EC7"/>
    <w:rsid w:val="00EC69E3"/>
    <w:rsid w:val="00ED008F"/>
    <w:rsid w:val="00ED3346"/>
    <w:rsid w:val="00ED4C83"/>
    <w:rsid w:val="00ED64DB"/>
    <w:rsid w:val="00EE039A"/>
    <w:rsid w:val="00EE082C"/>
    <w:rsid w:val="00EE1165"/>
    <w:rsid w:val="00EE1168"/>
    <w:rsid w:val="00EE3DEA"/>
    <w:rsid w:val="00EE4482"/>
    <w:rsid w:val="00EE576A"/>
    <w:rsid w:val="00EE7028"/>
    <w:rsid w:val="00EE790A"/>
    <w:rsid w:val="00EF14DF"/>
    <w:rsid w:val="00EF2C5F"/>
    <w:rsid w:val="00EF3759"/>
    <w:rsid w:val="00EF42F7"/>
    <w:rsid w:val="00EF6D29"/>
    <w:rsid w:val="00EF7F18"/>
    <w:rsid w:val="00F00DC1"/>
    <w:rsid w:val="00F06043"/>
    <w:rsid w:val="00F0698D"/>
    <w:rsid w:val="00F11DF0"/>
    <w:rsid w:val="00F11E25"/>
    <w:rsid w:val="00F13363"/>
    <w:rsid w:val="00F168A5"/>
    <w:rsid w:val="00F168F5"/>
    <w:rsid w:val="00F207B3"/>
    <w:rsid w:val="00F23E9D"/>
    <w:rsid w:val="00F27A61"/>
    <w:rsid w:val="00F32E0B"/>
    <w:rsid w:val="00F33B3D"/>
    <w:rsid w:val="00F36D0F"/>
    <w:rsid w:val="00F415F4"/>
    <w:rsid w:val="00F41BFF"/>
    <w:rsid w:val="00F43D72"/>
    <w:rsid w:val="00F473A8"/>
    <w:rsid w:val="00F50CBD"/>
    <w:rsid w:val="00F51FDB"/>
    <w:rsid w:val="00F54271"/>
    <w:rsid w:val="00F544BB"/>
    <w:rsid w:val="00F56903"/>
    <w:rsid w:val="00F6166C"/>
    <w:rsid w:val="00F62F62"/>
    <w:rsid w:val="00F660E9"/>
    <w:rsid w:val="00F6702D"/>
    <w:rsid w:val="00F73137"/>
    <w:rsid w:val="00F76338"/>
    <w:rsid w:val="00F76810"/>
    <w:rsid w:val="00F77CF4"/>
    <w:rsid w:val="00F77F19"/>
    <w:rsid w:val="00F80A62"/>
    <w:rsid w:val="00F851E2"/>
    <w:rsid w:val="00F87D70"/>
    <w:rsid w:val="00F90287"/>
    <w:rsid w:val="00F92656"/>
    <w:rsid w:val="00F92FB8"/>
    <w:rsid w:val="00F93096"/>
    <w:rsid w:val="00F93753"/>
    <w:rsid w:val="00F937AB"/>
    <w:rsid w:val="00F939DC"/>
    <w:rsid w:val="00F9450C"/>
    <w:rsid w:val="00F94523"/>
    <w:rsid w:val="00F96AF1"/>
    <w:rsid w:val="00FA0DE2"/>
    <w:rsid w:val="00FA23A9"/>
    <w:rsid w:val="00FA2D07"/>
    <w:rsid w:val="00FA3B31"/>
    <w:rsid w:val="00FA6955"/>
    <w:rsid w:val="00FA78E9"/>
    <w:rsid w:val="00FB083A"/>
    <w:rsid w:val="00FB75B1"/>
    <w:rsid w:val="00FD3FB1"/>
    <w:rsid w:val="00FD40F6"/>
    <w:rsid w:val="00FD4148"/>
    <w:rsid w:val="00FD478B"/>
    <w:rsid w:val="00FD4D86"/>
    <w:rsid w:val="00FD52DD"/>
    <w:rsid w:val="00FD5976"/>
    <w:rsid w:val="00FD6EF6"/>
    <w:rsid w:val="00FE261C"/>
    <w:rsid w:val="00FE3283"/>
    <w:rsid w:val="00FE3980"/>
    <w:rsid w:val="00FE3D9C"/>
    <w:rsid w:val="00FE6D91"/>
    <w:rsid w:val="00FE7B83"/>
    <w:rsid w:val="00FE7F96"/>
    <w:rsid w:val="00FF0B09"/>
    <w:rsid w:val="00FF1BE3"/>
    <w:rsid w:val="00FF3B13"/>
    <w:rsid w:val="00FF3DED"/>
    <w:rsid w:val="00FF585B"/>
    <w:rsid w:val="00FF74C7"/>
    <w:rsid w:val="01D87D18"/>
    <w:rsid w:val="01E17C87"/>
    <w:rsid w:val="0584253D"/>
    <w:rsid w:val="079B267C"/>
    <w:rsid w:val="089875E6"/>
    <w:rsid w:val="08F23D3B"/>
    <w:rsid w:val="0C905DCD"/>
    <w:rsid w:val="0D815BED"/>
    <w:rsid w:val="0FF1A1DA"/>
    <w:rsid w:val="10FB8295"/>
    <w:rsid w:val="111117CC"/>
    <w:rsid w:val="1299C058"/>
    <w:rsid w:val="139BD468"/>
    <w:rsid w:val="172FECF0"/>
    <w:rsid w:val="190243C9"/>
    <w:rsid w:val="1903CF8A"/>
    <w:rsid w:val="1A36E304"/>
    <w:rsid w:val="1AA1AA77"/>
    <w:rsid w:val="1B95FFE2"/>
    <w:rsid w:val="1D165BD6"/>
    <w:rsid w:val="1D9C5660"/>
    <w:rsid w:val="1EE37E1E"/>
    <w:rsid w:val="1F9CF54A"/>
    <w:rsid w:val="1FDAF694"/>
    <w:rsid w:val="20F80DBF"/>
    <w:rsid w:val="210ED23D"/>
    <w:rsid w:val="21695DCF"/>
    <w:rsid w:val="21D55D61"/>
    <w:rsid w:val="247A34B5"/>
    <w:rsid w:val="25D75FA1"/>
    <w:rsid w:val="275AC4FA"/>
    <w:rsid w:val="2D6623AB"/>
    <w:rsid w:val="2E974225"/>
    <w:rsid w:val="30131C34"/>
    <w:rsid w:val="33CF906D"/>
    <w:rsid w:val="36E76B57"/>
    <w:rsid w:val="38CD9072"/>
    <w:rsid w:val="39489662"/>
    <w:rsid w:val="3BCAFE6C"/>
    <w:rsid w:val="3C19DC0C"/>
    <w:rsid w:val="3E2D2640"/>
    <w:rsid w:val="4014963A"/>
    <w:rsid w:val="40BB922B"/>
    <w:rsid w:val="41C1E11A"/>
    <w:rsid w:val="421DBE5C"/>
    <w:rsid w:val="42D29D49"/>
    <w:rsid w:val="442C0CF7"/>
    <w:rsid w:val="46C6630F"/>
    <w:rsid w:val="4E0BC90A"/>
    <w:rsid w:val="4F332F73"/>
    <w:rsid w:val="51C9317C"/>
    <w:rsid w:val="568AF16F"/>
    <w:rsid w:val="58DB4FEB"/>
    <w:rsid w:val="58E7EE3E"/>
    <w:rsid w:val="59794085"/>
    <w:rsid w:val="59D8418D"/>
    <w:rsid w:val="5DB85D42"/>
    <w:rsid w:val="5E3AD50C"/>
    <w:rsid w:val="5ED94DBB"/>
    <w:rsid w:val="5F40BE42"/>
    <w:rsid w:val="5FCD55EA"/>
    <w:rsid w:val="61A765C7"/>
    <w:rsid w:val="61D1A628"/>
    <w:rsid w:val="6206DD03"/>
    <w:rsid w:val="68A0C5E5"/>
    <w:rsid w:val="6ADB9AF6"/>
    <w:rsid w:val="6CCC3026"/>
    <w:rsid w:val="6D6E4CC0"/>
    <w:rsid w:val="6DF33AF9"/>
    <w:rsid w:val="6F4B799D"/>
    <w:rsid w:val="73070E9D"/>
    <w:rsid w:val="745906F6"/>
    <w:rsid w:val="755B0960"/>
    <w:rsid w:val="764354F9"/>
    <w:rsid w:val="79150E64"/>
    <w:rsid w:val="79B26F2B"/>
    <w:rsid w:val="7E9C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766670"/>
  <w15:chartTrackingRefBased/>
  <w15:docId w15:val="{A8E74340-D5FD-47BC-88C2-B848012A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16A6"/>
    <w:pPr>
      <w:keepNext/>
      <w:keepLines/>
      <w:numPr>
        <w:numId w:val="32"/>
      </w:numPr>
      <w:spacing w:before="240" w:after="0" w:line="360" w:lineRule="auto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616A6"/>
    <w:pPr>
      <w:keepNext/>
      <w:keepLines/>
      <w:numPr>
        <w:ilvl w:val="1"/>
        <w:numId w:val="32"/>
      </w:numPr>
      <w:spacing w:before="40" w:after="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44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D4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uiPriority w:val="99"/>
    <w:unhideWhenUsed/>
    <w:rsid w:val="00EF37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EF3759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gntyacmbb4b">
    <w:name w:val="gntyacmbb4b"/>
    <w:basedOn w:val="Bekezdsalapbettpusa"/>
    <w:rsid w:val="00EF3759"/>
  </w:style>
  <w:style w:type="paragraph" w:styleId="Listaszerbekezds">
    <w:name w:val="List Paragraph"/>
    <w:basedOn w:val="Norml"/>
    <w:uiPriority w:val="34"/>
    <w:qFormat/>
    <w:rsid w:val="007B394B"/>
    <w:pPr>
      <w:ind w:left="720"/>
      <w:contextualSpacing/>
    </w:pPr>
    <w:rPr>
      <w:kern w:val="2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7B394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B394B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C616A6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616A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Kpalrs">
    <w:name w:val="caption"/>
    <w:basedOn w:val="Norml"/>
    <w:next w:val="Norml"/>
    <w:uiPriority w:val="35"/>
    <w:unhideWhenUsed/>
    <w:qFormat/>
    <w:rsid w:val="00177F34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E11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1165"/>
  </w:style>
  <w:style w:type="paragraph" w:styleId="llb">
    <w:name w:val="footer"/>
    <w:basedOn w:val="Norml"/>
    <w:link w:val="llbChar"/>
    <w:uiPriority w:val="99"/>
    <w:unhideWhenUsed/>
    <w:rsid w:val="00E11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1165"/>
  </w:style>
  <w:style w:type="paragraph" w:styleId="Tartalomjegyzkcmsora">
    <w:name w:val="TOC Heading"/>
    <w:basedOn w:val="Cmsor1"/>
    <w:next w:val="Norml"/>
    <w:uiPriority w:val="39"/>
    <w:unhideWhenUsed/>
    <w:qFormat/>
    <w:rsid w:val="00D717ED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D717E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717ED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71F98"/>
    <w:rPr>
      <w:rFonts w:ascii="Times New Roman" w:hAnsi="Times New Roman" w:cs="Times New Roman"/>
      <w:sz w:val="24"/>
      <w:szCs w:val="24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14C4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14C4B"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114C4B"/>
    <w:rPr>
      <w:sz w:val="16"/>
      <w:szCs w:val="1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44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">
    <w:name w:val="Emphasis"/>
    <w:basedOn w:val="Bekezdsalapbettpusa"/>
    <w:uiPriority w:val="20"/>
    <w:qFormat/>
    <w:rsid w:val="00CB4CBA"/>
    <w:rPr>
      <w:i/>
      <w:iCs/>
    </w:rPr>
  </w:style>
  <w:style w:type="character" w:styleId="Kiemels2">
    <w:name w:val="Strong"/>
    <w:basedOn w:val="Bekezdsalapbettpusa"/>
    <w:uiPriority w:val="22"/>
    <w:qFormat/>
    <w:rsid w:val="00CB4C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ec.europa.eu/eurostat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ec.europa.eu/eurostat/databrowser/view/namq_10_gdp__custom_18779498/default/tabl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c.europa.eu/eurostat/databrowser/view/AVIA_PAOC/default/tabl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ec.europa.eu/eurostat/databrowser/view/rail_pa_quartal/default/table?lang=en&amp;utm_source=chatgpt.com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ec.europa.eu/eurosta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9c146-954d-4f26-a811-b692fd1d4d6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6448950BFC04EB0C2782C8270A3EE" ma:contentTypeVersion="8" ma:contentTypeDescription="Create a new document." ma:contentTypeScope="" ma:versionID="967a344d8e67a20619371065671b1809">
  <xsd:schema xmlns:xsd="http://www.w3.org/2001/XMLSchema" xmlns:xs="http://www.w3.org/2001/XMLSchema" xmlns:p="http://schemas.microsoft.com/office/2006/metadata/properties" xmlns:ns3="5f39c146-954d-4f26-a811-b692fd1d4d6b" xmlns:ns4="fc5af292-9b51-4171-85a3-4465ac31c4dc" targetNamespace="http://schemas.microsoft.com/office/2006/metadata/properties" ma:root="true" ma:fieldsID="23440d88ecb430b397d6237ae175e614" ns3:_="" ns4:_="">
    <xsd:import namespace="5f39c146-954d-4f26-a811-b692fd1d4d6b"/>
    <xsd:import namespace="fc5af292-9b51-4171-85a3-4465ac31c4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9c146-954d-4f26-a811-b692fd1d4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af292-9b51-4171-85a3-4465ac31c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37FF7A-CAA3-4B2D-A238-03EC3B76AA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016E60-7BAC-4FD7-A328-08D7E0714705}">
  <ds:schemaRefs>
    <ds:schemaRef ds:uri="http://schemas.microsoft.com/office/2006/metadata/properties"/>
    <ds:schemaRef ds:uri="http://schemas.microsoft.com/office/infopath/2007/PartnerControls"/>
    <ds:schemaRef ds:uri="5f39c146-954d-4f26-a811-b692fd1d4d6b"/>
  </ds:schemaRefs>
</ds:datastoreItem>
</file>

<file path=customXml/itemProps3.xml><?xml version="1.0" encoding="utf-8"?>
<ds:datastoreItem xmlns:ds="http://schemas.openxmlformats.org/officeDocument/2006/customXml" ds:itemID="{8ECC9BA2-529D-40F4-919E-70B0330CB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9c146-954d-4f26-a811-b692fd1d4d6b"/>
    <ds:schemaRef ds:uri="fc5af292-9b51-4171-85a3-4465ac31c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11</Pages>
  <Words>2202</Words>
  <Characters>15637</Characters>
  <Application>Microsoft Office Word</Application>
  <DocSecurity>0</DocSecurity>
  <Lines>319</Lines>
  <Paragraphs>148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17691</CharactersWithSpaces>
  <SharedDoc>false</SharedDoc>
  <HLinks>
    <vt:vector size="138" baseType="variant">
      <vt:variant>
        <vt:i4>4784204</vt:i4>
      </vt:variant>
      <vt:variant>
        <vt:i4>117</vt:i4>
      </vt:variant>
      <vt:variant>
        <vt:i4>0</vt:i4>
      </vt:variant>
      <vt:variant>
        <vt:i4>5</vt:i4>
      </vt:variant>
      <vt:variant>
        <vt:lpwstr>https://www.mnb.hu/monetaris-politika/a-monetaris-tanacs/kozlemenyek/2022/kozlemeny-a-monetaris-tanacs-2022-oktober-14-8-45-oratol-kezdodo-hatalyu-donteserol</vt:lpwstr>
      </vt:variant>
      <vt:variant>
        <vt:lpwstr/>
      </vt:variant>
      <vt:variant>
        <vt:i4>7405615</vt:i4>
      </vt:variant>
      <vt:variant>
        <vt:i4>114</vt:i4>
      </vt:variant>
      <vt:variant>
        <vt:i4>0</vt:i4>
      </vt:variant>
      <vt:variant>
        <vt:i4>5</vt:i4>
      </vt:variant>
      <vt:variant>
        <vt:lpwstr>https://www.mnb.hu/Jegybanki_alapkamat_alakulasa?datefrom=2016.+01.+01.&amp;datetill=2025.+01.+01.&amp;order=1</vt:lpwstr>
      </vt:variant>
      <vt:variant>
        <vt:lpwstr/>
      </vt:variant>
      <vt:variant>
        <vt:i4>4456567</vt:i4>
      </vt:variant>
      <vt:variant>
        <vt:i4>111</vt:i4>
      </vt:variant>
      <vt:variant>
        <vt:i4>0</vt:i4>
      </vt:variant>
      <vt:variant>
        <vt:i4>5</vt:i4>
      </vt:variant>
      <vt:variant>
        <vt:lpwstr>https://www.ksh.hu/stadat_files/gdp/hu/gdp0106.html</vt:lpwstr>
      </vt:variant>
      <vt:variant>
        <vt:lpwstr/>
      </vt:variant>
      <vt:variant>
        <vt:i4>1572951</vt:i4>
      </vt:variant>
      <vt:variant>
        <vt:i4>108</vt:i4>
      </vt:variant>
      <vt:variant>
        <vt:i4>0</vt:i4>
      </vt:variant>
      <vt:variant>
        <vt:i4>5</vt:i4>
      </vt:variant>
      <vt:variant>
        <vt:lpwstr>https://www.ksh.hu/gyorstajekoztatok/kue/kue2412.html</vt:lpwstr>
      </vt:variant>
      <vt:variant>
        <vt:lpwstr/>
      </vt:variant>
      <vt:variant>
        <vt:i4>4915316</vt:i4>
      </vt:variant>
      <vt:variant>
        <vt:i4>105</vt:i4>
      </vt:variant>
      <vt:variant>
        <vt:i4>0</vt:i4>
      </vt:variant>
      <vt:variant>
        <vt:i4>5</vt:i4>
      </vt:variant>
      <vt:variant>
        <vt:lpwstr>https://hvg.hu/gazdasag/20230404_allamhaztartas_koltsegvetes_hiany</vt:lpwstr>
      </vt:variant>
      <vt:variant>
        <vt:lpwstr/>
      </vt:variant>
      <vt:variant>
        <vt:i4>6553639</vt:i4>
      </vt:variant>
      <vt:variant>
        <vt:i4>102</vt:i4>
      </vt:variant>
      <vt:variant>
        <vt:i4>0</vt:i4>
      </vt:variant>
      <vt:variant>
        <vt:i4>5</vt:i4>
      </vt:variant>
      <vt:variant>
        <vt:lpwstr>https://telex.hu/valasztas-2022/2022/02/17/szja-visszaterites-13-havi-nyugdij-fegyverpenz-nyitrai-zsolt</vt:lpwstr>
      </vt:variant>
      <vt:variant>
        <vt:lpwstr/>
      </vt:variant>
      <vt:variant>
        <vt:i4>6291581</vt:i4>
      </vt:variant>
      <vt:variant>
        <vt:i4>99</vt:i4>
      </vt:variant>
      <vt:variant>
        <vt:i4>0</vt:i4>
      </vt:variant>
      <vt:variant>
        <vt:i4>5</vt:i4>
      </vt:variant>
      <vt:variant>
        <vt:lpwstr>https://www.bloomberg.com/news/articles/2021-10-25/orban-pulls-7-5-billion-spending-u-turn-to-swing-close-election</vt:lpwstr>
      </vt:variant>
      <vt:variant>
        <vt:lpwstr/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_Toc199272897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_Toc199272896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_Toc199272895</vt:lpwstr>
      </vt:variant>
      <vt:variant>
        <vt:i4>1507383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_Toc199272894</vt:lpwstr>
      </vt:variant>
      <vt:variant>
        <vt:i4>1507383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_Toc199272893</vt:lpwstr>
      </vt:variant>
      <vt:variant>
        <vt:i4>1507383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_Toc199272892</vt:lpwstr>
      </vt:variant>
      <vt:variant>
        <vt:i4>1507383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_Toc199272891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_Toc199272890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_Toc199272889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_Toc199272888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_Toc199272887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_Toc199272886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_Toc199272885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_Toc199272884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_Toc199272883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_Toc199272882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Bognar</dc:creator>
  <cp:keywords/>
  <dc:description/>
  <cp:lastModifiedBy>Szirák Szabolcs</cp:lastModifiedBy>
  <cp:revision>4</cp:revision>
  <dcterms:created xsi:type="dcterms:W3CDTF">2025-11-13T19:30:00Z</dcterms:created>
  <dcterms:modified xsi:type="dcterms:W3CDTF">2025-11-23T22:10:00Z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a2db4ba4-8ec1-4987-b8e7-fb009724b997</vt:lpwstr>
  </property>
  <property fmtid="{D5CDD505-2E9C-101B-9397-08002B2CF9AE}" pid="3" name="ContentTypeId">
    <vt:lpwstr>0x01010023A6448950BFC04EB0C2782C8270A3EE</vt:lpwstr>
  </property>
</Properties>
</file>