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B053A" w14:textId="6B023ED7" w:rsidR="00A56504" w:rsidRPr="00323281" w:rsidRDefault="00A56504" w:rsidP="00A56504">
      <w:pPr>
        <w:jc w:val="center"/>
        <w:rPr>
          <w:b/>
          <w:bCs/>
          <w:sz w:val="36"/>
          <w:szCs w:val="36"/>
        </w:rPr>
      </w:pPr>
      <w:r w:rsidRPr="00323281">
        <w:rPr>
          <w:b/>
          <w:bCs/>
          <w:sz w:val="36"/>
          <w:szCs w:val="36"/>
        </w:rPr>
        <w:t>A paradicsom fogyasztói átlagára 2020 januárjától 2023 októberéig</w:t>
      </w:r>
    </w:p>
    <w:p w14:paraId="37E47E36" w14:textId="77777777" w:rsidR="00DD3F96" w:rsidRPr="00323281" w:rsidRDefault="00DD3F96" w:rsidP="00DD3F96">
      <w:pPr>
        <w:jc w:val="both"/>
        <w:rPr>
          <w:sz w:val="28"/>
          <w:szCs w:val="28"/>
        </w:rPr>
      </w:pPr>
    </w:p>
    <w:p w14:paraId="0C4AF6A5" w14:textId="77777777" w:rsidR="00323281" w:rsidRDefault="00323281" w:rsidP="004053C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</w:p>
    <w:p w14:paraId="505CF9EC" w14:textId="761E87C1" w:rsidR="001F4F41" w:rsidRDefault="001F4F41" w:rsidP="004053C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A paradicsom fogyasztói árának elemzése számos tényezőt kíván magában foglalni, beleértve a termelési költségeket, keresletet és kínálatot, valamint az ágazat makrogazdasági hatásait. Az elemzés alapjául szolgáló adatok forrásaként szolgálhat a Központi Statisztikai Hivatal (KSH) vagy más megbízható agrárkutató intézetek beszámolói.</w:t>
      </w:r>
    </w:p>
    <w:p w14:paraId="7EC95632" w14:textId="77777777" w:rsidR="00323281" w:rsidRDefault="00323281" w:rsidP="004053C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</w:p>
    <w:p w14:paraId="56B67530" w14:textId="4DED5DA4" w:rsidR="00323281" w:rsidRPr="00323281" w:rsidRDefault="00323281" w:rsidP="004053C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</w:rPr>
        <w:t>Adatok bemutatása</w:t>
      </w:r>
    </w:p>
    <w:p w14:paraId="69A587BB" w14:textId="40C0D757" w:rsidR="008D526F" w:rsidRPr="00323281" w:rsidRDefault="008D526F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A valós adatok diagramm ábrája:</w:t>
      </w:r>
    </w:p>
    <w:p w14:paraId="7BC2DEF2" w14:textId="21342CC0" w:rsidR="004053C9" w:rsidRPr="00323281" w:rsidRDefault="004053C9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noProof/>
          <w:sz w:val="32"/>
          <w:szCs w:val="32"/>
        </w:rPr>
        <w:drawing>
          <wp:inline distT="0" distB="0" distL="0" distR="0" wp14:anchorId="2D835837" wp14:editId="5D6CA660">
            <wp:extent cx="5934710" cy="2861733"/>
            <wp:effectExtent l="0" t="0" r="8890" b="15240"/>
            <wp:docPr id="180254156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C6E5B1B-9BC2-7E09-AA4C-35D8F6F7A3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EE0325D" w14:textId="77777777" w:rsidR="00323281" w:rsidRDefault="00323281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</w:p>
    <w:p w14:paraId="6C626CEB" w14:textId="77777777" w:rsidR="00323281" w:rsidRDefault="00323281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</w:p>
    <w:p w14:paraId="7907B4D7" w14:textId="77777777" w:rsidR="00323281" w:rsidRDefault="00323281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</w:p>
    <w:p w14:paraId="010BA14E" w14:textId="77777777" w:rsidR="00323281" w:rsidRDefault="00323281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</w:p>
    <w:p w14:paraId="6BC8D944" w14:textId="1A447B0F" w:rsidR="00323281" w:rsidRPr="00323281" w:rsidRDefault="00323281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</w:rPr>
        <w:lastRenderedPageBreak/>
        <w:t>Trendszámítás</w:t>
      </w:r>
    </w:p>
    <w:p w14:paraId="4ECF51E6" w14:textId="3C631241" w:rsidR="008D526F" w:rsidRPr="00323281" w:rsidRDefault="008D526F" w:rsidP="008D526F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Az valós adatok, az adatsorhoz legjobban illeszkedő </w:t>
      </w:r>
      <w:r w:rsidR="00323281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trend,</w:t>
      </w: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illetve a trend által becsült adatsor ábrája. A reziduális variancia, vagyis a trend értékeinek és a valós adatok eltérésének négyzetösszegének átlaga, segítségével megállapított legmegfelelőbb trend a </w:t>
      </w:r>
      <w:r w:rsidR="00585C2D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másodfokú</w:t>
      </w: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polinomiális trend lett. Ennek egyenlete az ábrán látható. </w:t>
      </w:r>
    </w:p>
    <w:p w14:paraId="0B0DC130" w14:textId="77777777" w:rsidR="00323281" w:rsidRDefault="00323281" w:rsidP="004053C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7E47CD8F" w14:textId="1C099268" w:rsidR="004053C9" w:rsidRPr="00323281" w:rsidRDefault="00DF7662" w:rsidP="004053C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71E985D" wp14:editId="519513FF">
            <wp:extent cx="5760720" cy="2931160"/>
            <wp:effectExtent l="0" t="0" r="11430" b="2540"/>
            <wp:docPr id="26679572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FF483C30-39E7-409E-BF0B-3C4ABD0494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2BB4248" w14:textId="77777777" w:rsidR="003D2119" w:rsidRPr="00323281" w:rsidRDefault="003D2119" w:rsidP="003D211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</w:p>
    <w:p w14:paraId="10699F1D" w14:textId="5C5C30CC" w:rsidR="005C2DDC" w:rsidRPr="00323281" w:rsidRDefault="00181A96" w:rsidP="003D211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>
        <w:rPr>
          <w:noProof/>
        </w:rPr>
        <w:pict w14:anchorId="277768A9">
          <v:shapetype id="_x0000_t202" coordsize="21600,21600" o:spt="202" path="m,l,21600r21600,l21600,xe">
            <v:stroke joinstyle="miter"/>
            <v:path gradientshapeok="t" o:connecttype="rect"/>
          </v:shapetype>
          <v:shape id="Szövegdoboz 3" o:spid="_x0000_s1026" type="#_x0000_t202" style="position:absolute;margin-left:223.15pt;margin-top:33.65pt;width:272.65pt;height:16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" fillcolor="white [3201]" strokecolor="white [3212]" strokeweight=".5pt">
            <v:textbox>
              <w:txbxContent>
                <w:p w14:paraId="10911D4E" w14:textId="06A75B5E" w:rsidR="00DF7662" w:rsidRPr="00FE6B3C" w:rsidRDefault="00FE6B3C">
                  <w:pPr>
                    <w:rPr>
                      <w:sz w:val="28"/>
                      <w:szCs w:val="28"/>
                    </w:rPr>
                  </w:pPr>
                  <w:r w:rsidRPr="00FE6B3C">
                    <w:rPr>
                      <w:sz w:val="28"/>
                      <w:szCs w:val="28"/>
                    </w:rPr>
                    <w:t>Mivel a mozgóátlagot nem tudjuk használni előrejelzésre, ezért a második legkisebb reziduális varianciával rendelkező trendet, a másodfokú polinomiális trendet vettem alapul.</w:t>
                  </w:r>
                </w:p>
              </w:txbxContent>
            </v:textbox>
          </v:shape>
        </w:pict>
      </w:r>
      <w:r w:rsidR="005C2DDC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A reziduális varianciák a vizsgált trendekre:</w:t>
      </w:r>
    </w:p>
    <w:tbl>
      <w:tblPr>
        <w:tblW w:w="4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2000"/>
      </w:tblGrid>
      <w:tr w:rsidR="00DF7662" w:rsidRPr="00DF7662" w14:paraId="3A2FA86E" w14:textId="77777777" w:rsidTr="00DF7662">
        <w:trPr>
          <w:trHeight w:val="264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D2C6" w14:textId="77777777" w:rsidR="00DF7662" w:rsidRPr="00DF7662" w:rsidRDefault="00DF7662" w:rsidP="00DF7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BE367" w14:textId="77777777" w:rsidR="00DF7662" w:rsidRPr="00DF7662" w:rsidRDefault="00DF7662" w:rsidP="00DF76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kern w:val="0"/>
                <w:sz w:val="28"/>
                <w:szCs w:val="28"/>
                <w:lang w:eastAsia="hu-HU"/>
                <w14:ligatures w14:val="none"/>
              </w:rPr>
              <w:t>reziduális variancia</w:t>
            </w:r>
          </w:p>
        </w:tc>
      </w:tr>
      <w:tr w:rsidR="00DF7662" w:rsidRPr="00DF7662" w14:paraId="3CE9EC69" w14:textId="77777777" w:rsidTr="00DF7662">
        <w:trPr>
          <w:trHeight w:val="264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5D5EC6" w14:textId="77777777" w:rsidR="00DF7662" w:rsidRPr="00DF7662" w:rsidRDefault="00DF7662" w:rsidP="00DF76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kern w:val="0"/>
                <w:sz w:val="28"/>
                <w:szCs w:val="28"/>
                <w:lang w:eastAsia="hu-HU"/>
                <w14:ligatures w14:val="none"/>
              </w:rPr>
              <w:t>lineáris trendek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9B178" w14:textId="77777777" w:rsidR="00DF7662" w:rsidRPr="00DF7662" w:rsidRDefault="00DF7662" w:rsidP="00DF766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78183,7</w:t>
            </w:r>
          </w:p>
        </w:tc>
      </w:tr>
      <w:tr w:rsidR="00DF7662" w:rsidRPr="00DF7662" w14:paraId="3D35BD93" w14:textId="77777777" w:rsidTr="00DF7662">
        <w:trPr>
          <w:trHeight w:val="264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F4B3D" w14:textId="77777777" w:rsidR="00DF7662" w:rsidRPr="00DF7662" w:rsidRDefault="00DF7662" w:rsidP="00DF7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Exponenciális trendek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64DDC" w14:textId="77777777" w:rsidR="00DF7662" w:rsidRPr="00DF7662" w:rsidRDefault="00DF7662" w:rsidP="00DF766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79925,1</w:t>
            </w:r>
          </w:p>
        </w:tc>
      </w:tr>
      <w:tr w:rsidR="00DF7662" w:rsidRPr="00DF7662" w14:paraId="0CE465BA" w14:textId="77777777" w:rsidTr="00DF7662">
        <w:trPr>
          <w:trHeight w:val="264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B68346" w14:textId="77777777" w:rsidR="00DF7662" w:rsidRPr="00DF7662" w:rsidRDefault="00DF7662" w:rsidP="00DF76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kern w:val="0"/>
                <w:sz w:val="28"/>
                <w:szCs w:val="28"/>
                <w:lang w:eastAsia="hu-HU"/>
                <w14:ligatures w14:val="none"/>
              </w:rPr>
              <w:t>mozgóátlag 12 havi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1D6EA39" w14:textId="77777777" w:rsidR="00DF7662" w:rsidRPr="00DF7662" w:rsidRDefault="00DF7662" w:rsidP="00DF766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64056,5</w:t>
            </w:r>
          </w:p>
        </w:tc>
      </w:tr>
      <w:tr w:rsidR="00DF7662" w:rsidRPr="00DF7662" w14:paraId="77DD2A1A" w14:textId="77777777" w:rsidTr="00DF7662">
        <w:trPr>
          <w:trHeight w:val="264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3BF4" w14:textId="77777777" w:rsidR="00DF7662" w:rsidRPr="00DF7662" w:rsidRDefault="00DF7662" w:rsidP="00DF76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 xml:space="preserve">Polinomiális trendek (2)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64BE000" w14:textId="77777777" w:rsidR="00DF7662" w:rsidRPr="00DF7662" w:rsidRDefault="00DF7662" w:rsidP="00DF766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</w:pPr>
            <w:r w:rsidRPr="00DF7662">
              <w:rPr>
                <w:rFonts w:ascii="Arial" w:eastAsia="Times New Roman" w:hAnsi="Arial" w:cs="Arial"/>
                <w:color w:val="000000"/>
                <w:kern w:val="0"/>
                <w:sz w:val="28"/>
                <w:szCs w:val="28"/>
                <w:lang w:eastAsia="hu-HU"/>
                <w14:ligatures w14:val="none"/>
              </w:rPr>
              <w:t>77980,4</w:t>
            </w:r>
          </w:p>
        </w:tc>
      </w:tr>
    </w:tbl>
    <w:p w14:paraId="16319A56" w14:textId="77777777" w:rsidR="00323281" w:rsidRDefault="00323281" w:rsidP="00A74AB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</w:pPr>
    </w:p>
    <w:p w14:paraId="33FC6E41" w14:textId="77777777" w:rsidR="00323281" w:rsidRDefault="00323281" w:rsidP="00A74AB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</w:pPr>
    </w:p>
    <w:p w14:paraId="1E5F6D44" w14:textId="77777777" w:rsidR="00323281" w:rsidRDefault="00323281" w:rsidP="00A74AB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</w:pPr>
    </w:p>
    <w:p w14:paraId="6E54F938" w14:textId="77777777" w:rsidR="00323281" w:rsidRDefault="00323281" w:rsidP="00A74AB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</w:pPr>
    </w:p>
    <w:p w14:paraId="7E7AF040" w14:textId="18287A6F" w:rsidR="00323281" w:rsidRPr="00323281" w:rsidRDefault="00323281" w:rsidP="00A74AB0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hu-HU"/>
          <w14:ligatures w14:val="none"/>
        </w:rPr>
      </w:pPr>
      <w:r w:rsidRPr="0032328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hu-HU"/>
          <w14:ligatures w14:val="none"/>
        </w:rPr>
        <w:t>Szezonalitás</w:t>
      </w:r>
    </w:p>
    <w:p w14:paraId="1DB85925" w14:textId="0179765E" w:rsidR="00323281" w:rsidRDefault="00323281" w:rsidP="00A74AB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</w:pPr>
      <w:r w:rsidRPr="00323281">
        <w:rPr>
          <w:sz w:val="28"/>
          <w:szCs w:val="28"/>
        </w:rPr>
        <w:t>Az ábra alapján jól látszik, hogy</w:t>
      </w:r>
      <w:r w:rsidRPr="00323281"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  <w:t xml:space="preserve"> multiplikatív, mert tölcsérszerűen szétnyílik, a trend emelkedésével nőnek a szezonális kilengések. A szezonalitás vizsgálata jelen esetben havonta történt.</w:t>
      </w:r>
    </w:p>
    <w:p w14:paraId="0D26D819" w14:textId="30A0A3CA" w:rsidR="00474C7A" w:rsidRPr="00323281" w:rsidRDefault="00474C7A" w:rsidP="00A74AB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</w:pPr>
      <w:r w:rsidRPr="00323281"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  <w:t>A paradicsom fogyasztói átlagárának ábrája</w:t>
      </w:r>
      <w:r w:rsidR="006632E2" w:rsidRPr="00323281"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  <w:t xml:space="preserve"> ráillesztett trenddel</w:t>
      </w:r>
      <w:r w:rsidRPr="00323281"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  <w:t>:</w:t>
      </w:r>
    </w:p>
    <w:p w14:paraId="662FC848" w14:textId="4B630050" w:rsidR="00A74AB0" w:rsidRPr="00323281" w:rsidRDefault="003D491F" w:rsidP="00A74AB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hu-HU"/>
          <w14:ligatures w14:val="none"/>
        </w:rPr>
      </w:pPr>
      <w:r>
        <w:rPr>
          <w:noProof/>
        </w:rPr>
        <w:drawing>
          <wp:inline distT="0" distB="0" distL="0" distR="0" wp14:anchorId="300FDDCC" wp14:editId="21C03038">
            <wp:extent cx="6324177" cy="3157220"/>
            <wp:effectExtent l="0" t="0" r="635" b="5080"/>
            <wp:docPr id="56667744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306B96FF-B7D9-2D8F-9137-1D6B646398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E998620" w14:textId="6489B33D" w:rsidR="005C18A6" w:rsidRPr="00323281" w:rsidRDefault="001C385D" w:rsidP="00323281">
      <w:pPr>
        <w:pStyle w:val="NormlWeb"/>
        <w:spacing w:before="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A paradicsom rendkívül érzékeny a szezonális változásokra, ami hatással van a fogyasztói árára. A paradicsom </w:t>
      </w:r>
      <w:r w:rsidR="003E2AF7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ár szezonalitása</w:t>
      </w: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számos tényezőn alapul, amelyek közé tartozik az időjárás, a termesztési feltételek, a kereslet és kínálat dinamikája.</w:t>
      </w:r>
      <w:r w:rsidR="003D2119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Mivel a Magyarországon megtermelt paradicsom döntő hányadát belföldön értékesítik, ezért a hazai piac alakulás</w:t>
      </w:r>
      <w:r w:rsidR="005C18A6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a határozza meg a termelők </w:t>
      </w:r>
      <w:r w:rsidR="003D0827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lehetőségeit</w:t>
      </w:r>
      <w:r w:rsidR="005C18A6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.</w:t>
      </w:r>
    </w:p>
    <w:p w14:paraId="5939FEF4" w14:textId="78665937" w:rsidR="005C18A6" w:rsidRPr="00323281" w:rsidRDefault="005C18A6" w:rsidP="001C385D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A téli hónapokban a</w:t>
      </w:r>
      <w:r w:rsidR="001F62F9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paradicsom</w:t>
      </w: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átlagára február/márciusig növekszik. Ebben az időszakban a paradicsomok kisebb mennyiségben állnak rendelkezésre a piacon, ami a kínálat csökkenéséhez és az árak emelkedéséhez vezet</w:t>
      </w:r>
      <w:r w:rsidR="003D0827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. A hűvösebb hónapokban a termesztési költségek növekedése is hozzájárulhat a paradicsomok árának emelkedéséhez. Az egyre kedvezőbb időjárási feltételek következtében a paradicsomok természetes növekedése és érési ideje fokozódik. Ebben az időszakban a piacon nagyobb mennyiségű friss paradicsom áll rendelkezésre, amely a kínálat növekedéséhez vezet. Ezért márciustól augusztusig-szeptemberig az árak folyamatosan csökkenek. A gazdag kínálat és a frissesség szezonális csúcsa lehetővé teszi az olcsóbb árakat, ösztönözve ezzel </w:t>
      </w:r>
      <w:r w:rsidR="003D0827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lastRenderedPageBreak/>
        <w:t>a fogyasztást. Októbertől újra rosszabbak az időjárási körülmények ezért az ár újra növekszik. Az a tendencia figyelhető meg minden vizsgált évben, azonban az évek között is növekedés és egyre nagyobb kilengés figyelhető meg az átlagárakban. Ez a jelenség az inflációval magyarázható, ami magában is az átlagár</w:t>
      </w:r>
      <w:r w:rsidR="001F62F9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</w:t>
      </w:r>
      <w:r w:rsidR="003D0827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növekedését eredményezné.</w:t>
      </w:r>
    </w:p>
    <w:p w14:paraId="28729BB1" w14:textId="57B56169" w:rsidR="001C385D" w:rsidRPr="00323281" w:rsidRDefault="001C385D" w:rsidP="001C385D">
      <w:pPr>
        <w:pStyle w:val="NormlWeb"/>
        <w:spacing w:before="300" w:beforeAutospacing="0" w:after="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A fogyasztók számára érdemes figyelemmel kísérni az árváltozásokat, és a különböző szezonokban alkalmazkodni az éppen elérhető paradicsomkínálathoz.</w:t>
      </w:r>
    </w:p>
    <w:p w14:paraId="13D904C8" w14:textId="77777777" w:rsidR="001C385D" w:rsidRPr="00A74AB0" w:rsidRDefault="001C385D" w:rsidP="001C385D">
      <w:pPr>
        <w:rPr>
          <w:rFonts w:ascii="Calibri" w:eastAsia="Times New Roman" w:hAnsi="Calibri" w:cs="Calibri"/>
          <w:color w:val="000000"/>
          <w:kern w:val="0"/>
          <w:lang w:eastAsia="hu-HU"/>
          <w14:ligatures w14:val="none"/>
        </w:rPr>
      </w:pPr>
    </w:p>
    <w:p w14:paraId="49225B6D" w14:textId="44695B5F" w:rsidR="005C2DDC" w:rsidRDefault="005C2DDC" w:rsidP="004053C9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42A265A3" w14:textId="0DA5D804" w:rsidR="001C385D" w:rsidRPr="00323281" w:rsidRDefault="001F4F41" w:rsidP="001C385D">
      <w:pPr>
        <w:pStyle w:val="NormlWeb"/>
        <w:spacing w:before="300" w:beforeAutospacing="0" w:after="30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Hivatkozások:</w:t>
      </w:r>
    </w:p>
    <w:p w14:paraId="178674ED" w14:textId="7C952FAF" w:rsidR="001F4F41" w:rsidRPr="00323281" w:rsidRDefault="001F4F41" w:rsidP="00D64EBF">
      <w:pPr>
        <w:pStyle w:val="Cmsor1"/>
        <w:numPr>
          <w:ilvl w:val="0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b w:val="0"/>
          <w:bCs w:val="0"/>
          <w:kern w:val="2"/>
          <w:sz w:val="28"/>
          <w:szCs w:val="28"/>
          <w:lang w:eastAsia="en-US"/>
        </w:rPr>
        <w:t>Központi Statisztikai Hivatal. (Év). "</w:t>
      </w:r>
      <w:r w:rsidR="00D64EBF" w:rsidRPr="00323281">
        <w:rPr>
          <w:rFonts w:asciiTheme="minorHAnsi" w:eastAsiaTheme="minorHAnsi" w:hAnsiTheme="minorHAnsi" w:cstheme="minorBidi"/>
          <w:b w:val="0"/>
          <w:bCs w:val="0"/>
          <w:kern w:val="2"/>
          <w:sz w:val="28"/>
          <w:szCs w:val="28"/>
          <w:lang w:eastAsia="en-US"/>
        </w:rPr>
        <w:t>1.2.1.6. Egyes termékek és szolgáltatások fogyasztói átlagára (nyers adatok), havonta</w:t>
      </w: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" Budapest: KSH.</w:t>
      </w:r>
      <w:r w:rsidR="00D64EBF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:</w:t>
      </w:r>
    </w:p>
    <w:p w14:paraId="168438D0" w14:textId="7110EDE5" w:rsidR="00D64EBF" w:rsidRPr="00323281" w:rsidRDefault="00D64EBF" w:rsidP="00D64EBF">
      <w:pPr>
        <w:pStyle w:val="NormlWeb"/>
        <w:spacing w:before="0" w:beforeAutospacing="0" w:after="0" w:afterAutospacing="0"/>
        <w:ind w:firstLine="708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hyperlink r:id="rId9" w:history="1">
        <w:r w:rsidRPr="00323281">
          <w:rPr>
            <w:rStyle w:val="Hiperhivatkozs"/>
            <w:rFonts w:asciiTheme="minorHAnsi" w:eastAsiaTheme="minorHAnsi" w:hAnsiTheme="minorHAnsi" w:cstheme="minorBidi"/>
            <w:kern w:val="2"/>
            <w:sz w:val="28"/>
            <w:szCs w:val="28"/>
            <w:lang w:eastAsia="en-US"/>
          </w:rPr>
          <w:t>https://www.ksh.hu/stadat_files/ara/hu/ara0044.html</w:t>
        </w:r>
      </w:hyperlink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</w:t>
      </w:r>
    </w:p>
    <w:p w14:paraId="373594E1" w14:textId="429803B5" w:rsidR="008171D6" w:rsidRPr="00323281" w:rsidRDefault="003D2119" w:rsidP="003D2119">
      <w:pPr>
        <w:pStyle w:val="NormlWeb"/>
        <w:numPr>
          <w:ilvl w:val="0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Németh Szilvia, Ehretné Berczi Ildikó, Isépy Anett, Varga </w:t>
      </w:r>
      <w:r w:rsidR="00141207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Viktória</w:t>
      </w:r>
      <w:r w:rsidR="00141207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,</w:t>
      </w:r>
      <w:r w:rsidR="00141207"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</w:t>
      </w:r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>2014, Magyarországi paradicsomhajtás helyzetének elemzése, Agrárkutató intézet</w:t>
      </w:r>
    </w:p>
    <w:p w14:paraId="6F5520F9" w14:textId="45A92DB4" w:rsidR="008171D6" w:rsidRPr="00323281" w:rsidRDefault="008171D6" w:rsidP="008171D6">
      <w:pPr>
        <w:pStyle w:val="Norm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</w:pPr>
      <w:hyperlink r:id="rId10" w:history="1">
        <w:r w:rsidRPr="00323281">
          <w:rPr>
            <w:rStyle w:val="Hiperhivatkozs"/>
            <w:rFonts w:asciiTheme="minorHAnsi" w:eastAsiaTheme="minorHAnsi" w:hAnsiTheme="minorHAnsi" w:cstheme="minorBidi"/>
            <w:kern w:val="2"/>
            <w:sz w:val="28"/>
            <w:szCs w:val="28"/>
            <w:lang w:eastAsia="en-US"/>
          </w:rPr>
          <w:t>http://repo.aki.gov.hu/280/1/ak_2014_03_Paradicsomhajtatas.pdf</w:t>
        </w:r>
      </w:hyperlink>
      <w:r w:rsidRPr="00323281">
        <w:rPr>
          <w:rFonts w:asciiTheme="minorHAnsi" w:eastAsiaTheme="minorHAnsi" w:hAnsiTheme="minorHAnsi" w:cstheme="minorBidi"/>
          <w:kern w:val="2"/>
          <w:sz w:val="28"/>
          <w:szCs w:val="28"/>
          <w:lang w:eastAsia="en-US"/>
        </w:rPr>
        <w:t xml:space="preserve"> </w:t>
      </w:r>
    </w:p>
    <w:p w14:paraId="5D40B81A" w14:textId="77777777" w:rsidR="00D47213" w:rsidRDefault="00D47213" w:rsidP="00A56504">
      <w:pPr>
        <w:jc w:val="center"/>
      </w:pPr>
    </w:p>
    <w:sectPr w:rsidR="00D472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DFC"/>
    <w:multiLevelType w:val="hybridMultilevel"/>
    <w:tmpl w:val="47923A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F5FE8"/>
    <w:multiLevelType w:val="hybridMultilevel"/>
    <w:tmpl w:val="054A29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5522E"/>
    <w:multiLevelType w:val="multilevel"/>
    <w:tmpl w:val="D116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1701B"/>
    <w:multiLevelType w:val="multilevel"/>
    <w:tmpl w:val="04BE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92C9F"/>
    <w:multiLevelType w:val="hybridMultilevel"/>
    <w:tmpl w:val="F9BADE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62368">
    <w:abstractNumId w:val="3"/>
  </w:num>
  <w:num w:numId="2" w16cid:durableId="1652783696">
    <w:abstractNumId w:val="2"/>
  </w:num>
  <w:num w:numId="3" w16cid:durableId="1564370049">
    <w:abstractNumId w:val="4"/>
  </w:num>
  <w:num w:numId="4" w16cid:durableId="589898640">
    <w:abstractNumId w:val="0"/>
  </w:num>
  <w:num w:numId="5" w16cid:durableId="1730226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6504"/>
    <w:rsid w:val="000B7A81"/>
    <w:rsid w:val="000F0963"/>
    <w:rsid w:val="00141207"/>
    <w:rsid w:val="00181A96"/>
    <w:rsid w:val="001C385D"/>
    <w:rsid w:val="001F4F41"/>
    <w:rsid w:val="001F62F9"/>
    <w:rsid w:val="00323281"/>
    <w:rsid w:val="00347B06"/>
    <w:rsid w:val="00376E96"/>
    <w:rsid w:val="003D0827"/>
    <w:rsid w:val="003D2119"/>
    <w:rsid w:val="003D491F"/>
    <w:rsid w:val="003E2AF7"/>
    <w:rsid w:val="004053C9"/>
    <w:rsid w:val="00474C7A"/>
    <w:rsid w:val="00585C2D"/>
    <w:rsid w:val="005C18A6"/>
    <w:rsid w:val="005C2DDC"/>
    <w:rsid w:val="005F4296"/>
    <w:rsid w:val="006632E2"/>
    <w:rsid w:val="008171D6"/>
    <w:rsid w:val="008315EB"/>
    <w:rsid w:val="008D526F"/>
    <w:rsid w:val="008F113B"/>
    <w:rsid w:val="0098221B"/>
    <w:rsid w:val="009F311C"/>
    <w:rsid w:val="00A56504"/>
    <w:rsid w:val="00A74AB0"/>
    <w:rsid w:val="00B3077C"/>
    <w:rsid w:val="00B33400"/>
    <w:rsid w:val="00C1212B"/>
    <w:rsid w:val="00D07163"/>
    <w:rsid w:val="00D47213"/>
    <w:rsid w:val="00D64EBF"/>
    <w:rsid w:val="00DD3F96"/>
    <w:rsid w:val="00DF7662"/>
    <w:rsid w:val="00FB7453"/>
    <w:rsid w:val="00FB78B1"/>
    <w:rsid w:val="00FE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603EC2E"/>
  <w15:docId w15:val="{DDABBB09-E558-47C3-A89A-8C5C6487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64E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DD3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F4F41"/>
    <w:rPr>
      <w:b/>
      <w:bCs/>
    </w:rPr>
  </w:style>
  <w:style w:type="character" w:styleId="Kiemels">
    <w:name w:val="Emphasis"/>
    <w:basedOn w:val="Bekezdsalapbettpusa"/>
    <w:uiPriority w:val="20"/>
    <w:qFormat/>
    <w:rsid w:val="001F4F41"/>
    <w:rPr>
      <w:i/>
      <w:iCs/>
    </w:rPr>
  </w:style>
  <w:style w:type="character" w:styleId="Hiperhivatkozs">
    <w:name w:val="Hyperlink"/>
    <w:basedOn w:val="Bekezdsalapbettpusa"/>
    <w:uiPriority w:val="99"/>
    <w:unhideWhenUsed/>
    <w:rsid w:val="00D64EB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64EBF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D64EB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repo.aki.gov.hu/280/1/ak_2014_03_Paradicsomhajtata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sh.hu/stadat_files/ara/hu/ara0044.html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ownloads\stadat-ara0044-1.2.1.6-hu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Stat\Szir&#225;k%20Szabolcs%20h&#225;zi%20felada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Stat\Szir&#225;k%20Szabolcs%20h&#225;zi%20felada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hu-H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 paradicsom fogyasztói átlagára 2020 januárjártól 2023 októberéig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hu-H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hu-HU"/>
        </a:p>
      </c:txPr>
    </c:title>
    <c:autoTitleDeleted val="0"/>
    <c:plotArea>
      <c:layout>
        <c:manualLayout>
          <c:layoutTarget val="inner"/>
          <c:xMode val="edge"/>
          <c:yMode val="edge"/>
          <c:x val="7.7434244330569793E-2"/>
          <c:y val="0.24781127129750979"/>
          <c:w val="0.89831531475232262"/>
          <c:h val="0.37351730116304271"/>
        </c:manualLayout>
      </c:layout>
      <c:lineChart>
        <c:grouping val="standard"/>
        <c:varyColors val="0"/>
        <c:ser>
          <c:idx val="0"/>
          <c:order val="0"/>
          <c:tx>
            <c:strRef>
              <c:f>Trend!$D$3</c:f>
              <c:strCache>
                <c:ptCount val="1"/>
                <c:pt idx="0">
                  <c:v>paradicsom Ft/kg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multiLvlStrRef>
              <c:f>Trend!$B$4:$C$49</c:f>
              <c:multiLvlStrCache>
                <c:ptCount val="46"/>
                <c:lvl>
                  <c:pt idx="0">
                    <c:v>január</c:v>
                  </c:pt>
                  <c:pt idx="1">
                    <c:v>február</c:v>
                  </c:pt>
                  <c:pt idx="2">
                    <c:v>március</c:v>
                  </c:pt>
                  <c:pt idx="3">
                    <c:v>április</c:v>
                  </c:pt>
                  <c:pt idx="4">
                    <c:v>május</c:v>
                  </c:pt>
                  <c:pt idx="5">
                    <c:v>június</c:v>
                  </c:pt>
                  <c:pt idx="6">
                    <c:v>július</c:v>
                  </c:pt>
                  <c:pt idx="7">
                    <c:v>augusztus</c:v>
                  </c:pt>
                  <c:pt idx="8">
                    <c:v>szeptember</c:v>
                  </c:pt>
                  <c:pt idx="9">
                    <c:v>október</c:v>
                  </c:pt>
                  <c:pt idx="10">
                    <c:v>november</c:v>
                  </c:pt>
                  <c:pt idx="11">
                    <c:v>december</c:v>
                  </c:pt>
                  <c:pt idx="12">
                    <c:v>január</c:v>
                  </c:pt>
                  <c:pt idx="13">
                    <c:v>február</c:v>
                  </c:pt>
                  <c:pt idx="14">
                    <c:v>március</c:v>
                  </c:pt>
                  <c:pt idx="15">
                    <c:v>április</c:v>
                  </c:pt>
                  <c:pt idx="16">
                    <c:v>május</c:v>
                  </c:pt>
                  <c:pt idx="17">
                    <c:v>június</c:v>
                  </c:pt>
                  <c:pt idx="18">
                    <c:v>július</c:v>
                  </c:pt>
                  <c:pt idx="19">
                    <c:v>augusztus</c:v>
                  </c:pt>
                  <c:pt idx="20">
                    <c:v>szeptember</c:v>
                  </c:pt>
                  <c:pt idx="21">
                    <c:v>október</c:v>
                  </c:pt>
                  <c:pt idx="22">
                    <c:v>november</c:v>
                  </c:pt>
                  <c:pt idx="23">
                    <c:v>december</c:v>
                  </c:pt>
                  <c:pt idx="24">
                    <c:v>január</c:v>
                  </c:pt>
                  <c:pt idx="25">
                    <c:v>február</c:v>
                  </c:pt>
                  <c:pt idx="26">
                    <c:v>március</c:v>
                  </c:pt>
                  <c:pt idx="27">
                    <c:v>április</c:v>
                  </c:pt>
                  <c:pt idx="28">
                    <c:v>május</c:v>
                  </c:pt>
                  <c:pt idx="29">
                    <c:v>június</c:v>
                  </c:pt>
                  <c:pt idx="30">
                    <c:v>július</c:v>
                  </c:pt>
                  <c:pt idx="31">
                    <c:v>augusztus</c:v>
                  </c:pt>
                  <c:pt idx="32">
                    <c:v>szeptember</c:v>
                  </c:pt>
                  <c:pt idx="33">
                    <c:v>október</c:v>
                  </c:pt>
                  <c:pt idx="34">
                    <c:v>november</c:v>
                  </c:pt>
                  <c:pt idx="35">
                    <c:v>december</c:v>
                  </c:pt>
                  <c:pt idx="36">
                    <c:v>január</c:v>
                  </c:pt>
                  <c:pt idx="37">
                    <c:v>február</c:v>
                  </c:pt>
                  <c:pt idx="38">
                    <c:v>március</c:v>
                  </c:pt>
                  <c:pt idx="39">
                    <c:v>április</c:v>
                  </c:pt>
                  <c:pt idx="40">
                    <c:v>május</c:v>
                  </c:pt>
                  <c:pt idx="41">
                    <c:v>június</c:v>
                  </c:pt>
                  <c:pt idx="42">
                    <c:v>július</c:v>
                  </c:pt>
                  <c:pt idx="43">
                    <c:v>augusztus</c:v>
                  </c:pt>
                  <c:pt idx="44">
                    <c:v>szeptember</c:v>
                  </c:pt>
                  <c:pt idx="45">
                    <c:v>október</c:v>
                  </c:pt>
                </c:lvl>
                <c:lvl>
                  <c:pt idx="0">
                    <c:v>2020</c:v>
                  </c:pt>
                  <c:pt idx="12">
                    <c:v>2021</c:v>
                  </c:pt>
                  <c:pt idx="24">
                    <c:v>2022</c:v>
                  </c:pt>
                  <c:pt idx="36">
                    <c:v>2023</c:v>
                  </c:pt>
                </c:lvl>
              </c:multiLvlStrCache>
            </c:multiLvlStrRef>
          </c:cat>
          <c:val>
            <c:numRef>
              <c:f>Trend!$D$4:$D$49</c:f>
              <c:numCache>
                <c:formatCode>#,##0</c:formatCode>
                <c:ptCount val="46"/>
                <c:pt idx="0">
                  <c:v>845</c:v>
                </c:pt>
                <c:pt idx="1">
                  <c:v>931</c:v>
                </c:pt>
                <c:pt idx="2">
                  <c:v>975</c:v>
                </c:pt>
                <c:pt idx="3">
                  <c:v>978</c:v>
                </c:pt>
                <c:pt idx="4">
                  <c:v>830</c:v>
                </c:pt>
                <c:pt idx="5">
                  <c:v>597</c:v>
                </c:pt>
                <c:pt idx="6">
                  <c:v>459</c:v>
                </c:pt>
                <c:pt idx="7">
                  <c:v>479</c:v>
                </c:pt>
                <c:pt idx="8">
                  <c:v>467</c:v>
                </c:pt>
                <c:pt idx="9">
                  <c:v>562</c:v>
                </c:pt>
                <c:pt idx="10">
                  <c:v>663</c:v>
                </c:pt>
                <c:pt idx="11">
                  <c:v>729</c:v>
                </c:pt>
                <c:pt idx="12">
                  <c:v>874</c:v>
                </c:pt>
                <c:pt idx="13">
                  <c:v>877</c:v>
                </c:pt>
                <c:pt idx="14">
                  <c:v>894</c:v>
                </c:pt>
                <c:pt idx="15">
                  <c:v>959</c:v>
                </c:pt>
                <c:pt idx="16">
                  <c:v>777</c:v>
                </c:pt>
                <c:pt idx="17">
                  <c:v>627</c:v>
                </c:pt>
                <c:pt idx="18">
                  <c:v>584</c:v>
                </c:pt>
                <c:pt idx="19">
                  <c:v>523</c:v>
                </c:pt>
                <c:pt idx="20">
                  <c:v>614</c:v>
                </c:pt>
                <c:pt idx="21">
                  <c:v>637</c:v>
                </c:pt>
                <c:pt idx="22">
                  <c:v>717</c:v>
                </c:pt>
                <c:pt idx="23">
                  <c:v>763</c:v>
                </c:pt>
                <c:pt idx="24">
                  <c:v>951</c:v>
                </c:pt>
                <c:pt idx="25">
                  <c:v>1090</c:v>
                </c:pt>
                <c:pt idx="26">
                  <c:v>1270</c:v>
                </c:pt>
                <c:pt idx="27">
                  <c:v>1390</c:v>
                </c:pt>
                <c:pt idx="28">
                  <c:v>1070</c:v>
                </c:pt>
                <c:pt idx="29">
                  <c:v>889</c:v>
                </c:pt>
                <c:pt idx="30">
                  <c:v>748</c:v>
                </c:pt>
                <c:pt idx="31">
                  <c:v>686</c:v>
                </c:pt>
                <c:pt idx="32">
                  <c:v>696</c:v>
                </c:pt>
                <c:pt idx="33">
                  <c:v>1010</c:v>
                </c:pt>
                <c:pt idx="34">
                  <c:v>1100</c:v>
                </c:pt>
                <c:pt idx="35">
                  <c:v>1100</c:v>
                </c:pt>
                <c:pt idx="36">
                  <c:v>1280</c:v>
                </c:pt>
                <c:pt idx="37">
                  <c:v>1550</c:v>
                </c:pt>
                <c:pt idx="38">
                  <c:v>1870</c:v>
                </c:pt>
                <c:pt idx="39">
                  <c:v>1630</c:v>
                </c:pt>
                <c:pt idx="40">
                  <c:v>1340</c:v>
                </c:pt>
                <c:pt idx="41">
                  <c:v>1000</c:v>
                </c:pt>
                <c:pt idx="42">
                  <c:v>798</c:v>
                </c:pt>
                <c:pt idx="43">
                  <c:v>630</c:v>
                </c:pt>
                <c:pt idx="44">
                  <c:v>664</c:v>
                </c:pt>
                <c:pt idx="45">
                  <c:v>825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C57-45E2-8B2D-B080CDCE94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8333071"/>
        <c:axId val="1208130063"/>
      </c:lineChart>
      <c:catAx>
        <c:axId val="2483330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1208130063"/>
        <c:crosses val="autoZero"/>
        <c:auto val="1"/>
        <c:lblAlgn val="ctr"/>
        <c:lblOffset val="100"/>
        <c:noMultiLvlLbl val="0"/>
      </c:catAx>
      <c:valAx>
        <c:axId val="1208130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2483330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hu-H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 paradicsom fogyasztói átlagára 2020 januárjártól 2023 októberéig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hu-H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olid"/>
              </a:ln>
              <a:effectLst/>
            </c:spPr>
            <c:trendlineType val="poly"/>
            <c:order val="2"/>
            <c:dispRSqr val="0"/>
            <c:dispEq val="1"/>
            <c:trendlineLbl>
              <c:layout>
                <c:manualLayout>
                  <c:x val="1.9646667113217726E-2"/>
                  <c:y val="-0.2858702162894060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hu-HU"/>
                </a:p>
              </c:txPr>
            </c:trendlineLbl>
          </c:trendline>
          <c:cat>
            <c:multiLvlStrRef>
              <c:f>Trend!$B$4:$C$49</c:f>
              <c:multiLvlStrCache>
                <c:ptCount val="46"/>
                <c:lvl>
                  <c:pt idx="0">
                    <c:v>január</c:v>
                  </c:pt>
                  <c:pt idx="1">
                    <c:v>február</c:v>
                  </c:pt>
                  <c:pt idx="2">
                    <c:v>március</c:v>
                  </c:pt>
                  <c:pt idx="3">
                    <c:v>április</c:v>
                  </c:pt>
                  <c:pt idx="4">
                    <c:v>május</c:v>
                  </c:pt>
                  <c:pt idx="5">
                    <c:v>június</c:v>
                  </c:pt>
                  <c:pt idx="6">
                    <c:v>július</c:v>
                  </c:pt>
                  <c:pt idx="7">
                    <c:v>augusztus</c:v>
                  </c:pt>
                  <c:pt idx="8">
                    <c:v>szeptember</c:v>
                  </c:pt>
                  <c:pt idx="9">
                    <c:v>október</c:v>
                  </c:pt>
                  <c:pt idx="10">
                    <c:v>november</c:v>
                  </c:pt>
                  <c:pt idx="11">
                    <c:v>december</c:v>
                  </c:pt>
                  <c:pt idx="12">
                    <c:v>január</c:v>
                  </c:pt>
                  <c:pt idx="13">
                    <c:v>február</c:v>
                  </c:pt>
                  <c:pt idx="14">
                    <c:v>március</c:v>
                  </c:pt>
                  <c:pt idx="15">
                    <c:v>április</c:v>
                  </c:pt>
                  <c:pt idx="16">
                    <c:v>május</c:v>
                  </c:pt>
                  <c:pt idx="17">
                    <c:v>június</c:v>
                  </c:pt>
                  <c:pt idx="18">
                    <c:v>július</c:v>
                  </c:pt>
                  <c:pt idx="19">
                    <c:v>augusztus</c:v>
                  </c:pt>
                  <c:pt idx="20">
                    <c:v>szeptember</c:v>
                  </c:pt>
                  <c:pt idx="21">
                    <c:v>október</c:v>
                  </c:pt>
                  <c:pt idx="22">
                    <c:v>november</c:v>
                  </c:pt>
                  <c:pt idx="23">
                    <c:v>december</c:v>
                  </c:pt>
                  <c:pt idx="24">
                    <c:v>január</c:v>
                  </c:pt>
                  <c:pt idx="25">
                    <c:v>február</c:v>
                  </c:pt>
                  <c:pt idx="26">
                    <c:v>március</c:v>
                  </c:pt>
                  <c:pt idx="27">
                    <c:v>április</c:v>
                  </c:pt>
                  <c:pt idx="28">
                    <c:v>május</c:v>
                  </c:pt>
                  <c:pt idx="29">
                    <c:v>június</c:v>
                  </c:pt>
                  <c:pt idx="30">
                    <c:v>július</c:v>
                  </c:pt>
                  <c:pt idx="31">
                    <c:v>augusztus</c:v>
                  </c:pt>
                  <c:pt idx="32">
                    <c:v>szeptember</c:v>
                  </c:pt>
                  <c:pt idx="33">
                    <c:v>október</c:v>
                  </c:pt>
                  <c:pt idx="34">
                    <c:v>november</c:v>
                  </c:pt>
                  <c:pt idx="35">
                    <c:v>december</c:v>
                  </c:pt>
                  <c:pt idx="36">
                    <c:v>január</c:v>
                  </c:pt>
                  <c:pt idx="37">
                    <c:v>február</c:v>
                  </c:pt>
                  <c:pt idx="38">
                    <c:v>március</c:v>
                  </c:pt>
                  <c:pt idx="39">
                    <c:v>április</c:v>
                  </c:pt>
                  <c:pt idx="40">
                    <c:v>május</c:v>
                  </c:pt>
                  <c:pt idx="41">
                    <c:v>június</c:v>
                  </c:pt>
                  <c:pt idx="42">
                    <c:v>július</c:v>
                  </c:pt>
                  <c:pt idx="43">
                    <c:v>augusztus</c:v>
                  </c:pt>
                  <c:pt idx="44">
                    <c:v>szeptember</c:v>
                  </c:pt>
                  <c:pt idx="45">
                    <c:v>október</c:v>
                  </c:pt>
                </c:lvl>
                <c:lvl>
                  <c:pt idx="0">
                    <c:v>2020</c:v>
                  </c:pt>
                  <c:pt idx="12">
                    <c:v>2021</c:v>
                  </c:pt>
                  <c:pt idx="24">
                    <c:v>2022</c:v>
                  </c:pt>
                  <c:pt idx="36">
                    <c:v>2023</c:v>
                  </c:pt>
                </c:lvl>
              </c:multiLvlStrCache>
            </c:multiLvlStrRef>
          </c:cat>
          <c:val>
            <c:numRef>
              <c:f>Trend!$D$4:$D$49</c:f>
              <c:numCache>
                <c:formatCode>#,##0</c:formatCode>
                <c:ptCount val="46"/>
                <c:pt idx="0">
                  <c:v>845</c:v>
                </c:pt>
                <c:pt idx="1">
                  <c:v>931</c:v>
                </c:pt>
                <c:pt idx="2">
                  <c:v>975</c:v>
                </c:pt>
                <c:pt idx="3">
                  <c:v>978</c:v>
                </c:pt>
                <c:pt idx="4">
                  <c:v>830</c:v>
                </c:pt>
                <c:pt idx="5">
                  <c:v>597</c:v>
                </c:pt>
                <c:pt idx="6">
                  <c:v>459</c:v>
                </c:pt>
                <c:pt idx="7">
                  <c:v>479</c:v>
                </c:pt>
                <c:pt idx="8">
                  <c:v>467</c:v>
                </c:pt>
                <c:pt idx="9">
                  <c:v>562</c:v>
                </c:pt>
                <c:pt idx="10">
                  <c:v>663</c:v>
                </c:pt>
                <c:pt idx="11">
                  <c:v>729</c:v>
                </c:pt>
                <c:pt idx="12">
                  <c:v>874</c:v>
                </c:pt>
                <c:pt idx="13">
                  <c:v>877</c:v>
                </c:pt>
                <c:pt idx="14">
                  <c:v>894</c:v>
                </c:pt>
                <c:pt idx="15">
                  <c:v>959</c:v>
                </c:pt>
                <c:pt idx="16">
                  <c:v>777</c:v>
                </c:pt>
                <c:pt idx="17">
                  <c:v>627</c:v>
                </c:pt>
                <c:pt idx="18">
                  <c:v>584</c:v>
                </c:pt>
                <c:pt idx="19">
                  <c:v>523</c:v>
                </c:pt>
                <c:pt idx="20">
                  <c:v>614</c:v>
                </c:pt>
                <c:pt idx="21">
                  <c:v>637</c:v>
                </c:pt>
                <c:pt idx="22">
                  <c:v>717</c:v>
                </c:pt>
                <c:pt idx="23">
                  <c:v>763</c:v>
                </c:pt>
                <c:pt idx="24">
                  <c:v>951</c:v>
                </c:pt>
                <c:pt idx="25">
                  <c:v>1090</c:v>
                </c:pt>
                <c:pt idx="26">
                  <c:v>1270</c:v>
                </c:pt>
                <c:pt idx="27">
                  <c:v>1390</c:v>
                </c:pt>
                <c:pt idx="28">
                  <c:v>1070</c:v>
                </c:pt>
                <c:pt idx="29">
                  <c:v>889</c:v>
                </c:pt>
                <c:pt idx="30">
                  <c:v>748</c:v>
                </c:pt>
                <c:pt idx="31">
                  <c:v>686</c:v>
                </c:pt>
                <c:pt idx="32">
                  <c:v>696</c:v>
                </c:pt>
                <c:pt idx="33">
                  <c:v>1010</c:v>
                </c:pt>
                <c:pt idx="34">
                  <c:v>1100</c:v>
                </c:pt>
                <c:pt idx="35">
                  <c:v>1100</c:v>
                </c:pt>
                <c:pt idx="36">
                  <c:v>1280</c:v>
                </c:pt>
                <c:pt idx="37">
                  <c:v>1550</c:v>
                </c:pt>
                <c:pt idx="38">
                  <c:v>1870</c:v>
                </c:pt>
                <c:pt idx="39">
                  <c:v>1630</c:v>
                </c:pt>
                <c:pt idx="40">
                  <c:v>1340</c:v>
                </c:pt>
                <c:pt idx="41">
                  <c:v>1000</c:v>
                </c:pt>
                <c:pt idx="42">
                  <c:v>798</c:v>
                </c:pt>
                <c:pt idx="43">
                  <c:v>630</c:v>
                </c:pt>
                <c:pt idx="44">
                  <c:v>664</c:v>
                </c:pt>
                <c:pt idx="45">
                  <c:v>825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083-4BC4-8272-78DEABF96C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2457871"/>
        <c:axId val="1217807343"/>
      </c:lineChart>
      <c:catAx>
        <c:axId val="12224578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1217807343"/>
        <c:crosses val="autoZero"/>
        <c:auto val="1"/>
        <c:lblAlgn val="ctr"/>
        <c:lblOffset val="100"/>
        <c:noMultiLvlLbl val="0"/>
      </c:catAx>
      <c:valAx>
        <c:axId val="1217807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12224578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hu-H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 paradicsom fogyasztói átlagára 2020 januárjártól 2023 októberéig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hu-H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Szezon!$C$2</c:f>
              <c:strCache>
                <c:ptCount val="1"/>
                <c:pt idx="0">
                  <c:v>paradicsom Ft/kg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olid"/>
              </a:ln>
              <a:effectLst/>
            </c:spPr>
            <c:trendlineType val="poly"/>
            <c:order val="2"/>
            <c:dispRSqr val="0"/>
            <c:dispEq val="1"/>
            <c:trendlineLbl>
              <c:layout>
                <c:manualLayout>
                  <c:x val="4.1071309748253303E-3"/>
                  <c:y val="-0.329008920189788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hu-HU"/>
                </a:p>
              </c:txPr>
            </c:trendlineLbl>
          </c:trendline>
          <c:cat>
            <c:multiLvlStrRef>
              <c:f>Szezon!$A$3:$B$48</c:f>
              <c:multiLvlStrCache>
                <c:ptCount val="46"/>
                <c:lvl>
                  <c:pt idx="0">
                    <c:v>január</c:v>
                  </c:pt>
                  <c:pt idx="1">
                    <c:v>február</c:v>
                  </c:pt>
                  <c:pt idx="2">
                    <c:v>március</c:v>
                  </c:pt>
                  <c:pt idx="3">
                    <c:v>április</c:v>
                  </c:pt>
                  <c:pt idx="4">
                    <c:v>május</c:v>
                  </c:pt>
                  <c:pt idx="5">
                    <c:v>június</c:v>
                  </c:pt>
                  <c:pt idx="6">
                    <c:v>július</c:v>
                  </c:pt>
                  <c:pt idx="7">
                    <c:v>augusztus</c:v>
                  </c:pt>
                  <c:pt idx="8">
                    <c:v>szeptember</c:v>
                  </c:pt>
                  <c:pt idx="9">
                    <c:v>október</c:v>
                  </c:pt>
                  <c:pt idx="10">
                    <c:v>november</c:v>
                  </c:pt>
                  <c:pt idx="11">
                    <c:v>december</c:v>
                  </c:pt>
                  <c:pt idx="12">
                    <c:v>január</c:v>
                  </c:pt>
                  <c:pt idx="13">
                    <c:v>február</c:v>
                  </c:pt>
                  <c:pt idx="14">
                    <c:v>március</c:v>
                  </c:pt>
                  <c:pt idx="15">
                    <c:v>április</c:v>
                  </c:pt>
                  <c:pt idx="16">
                    <c:v>május</c:v>
                  </c:pt>
                  <c:pt idx="17">
                    <c:v>június</c:v>
                  </c:pt>
                  <c:pt idx="18">
                    <c:v>július</c:v>
                  </c:pt>
                  <c:pt idx="19">
                    <c:v>augusztus</c:v>
                  </c:pt>
                  <c:pt idx="20">
                    <c:v>szeptember</c:v>
                  </c:pt>
                  <c:pt idx="21">
                    <c:v>október</c:v>
                  </c:pt>
                  <c:pt idx="22">
                    <c:v>november</c:v>
                  </c:pt>
                  <c:pt idx="23">
                    <c:v>december</c:v>
                  </c:pt>
                  <c:pt idx="24">
                    <c:v>január</c:v>
                  </c:pt>
                  <c:pt idx="25">
                    <c:v>február</c:v>
                  </c:pt>
                  <c:pt idx="26">
                    <c:v>március</c:v>
                  </c:pt>
                  <c:pt idx="27">
                    <c:v>április</c:v>
                  </c:pt>
                  <c:pt idx="28">
                    <c:v>május</c:v>
                  </c:pt>
                  <c:pt idx="29">
                    <c:v>június</c:v>
                  </c:pt>
                  <c:pt idx="30">
                    <c:v>július</c:v>
                  </c:pt>
                  <c:pt idx="31">
                    <c:v>augusztus</c:v>
                  </c:pt>
                  <c:pt idx="32">
                    <c:v>szeptember</c:v>
                  </c:pt>
                  <c:pt idx="33">
                    <c:v>október</c:v>
                  </c:pt>
                  <c:pt idx="34">
                    <c:v>november</c:v>
                  </c:pt>
                  <c:pt idx="35">
                    <c:v>december</c:v>
                  </c:pt>
                  <c:pt idx="36">
                    <c:v>január</c:v>
                  </c:pt>
                  <c:pt idx="37">
                    <c:v>február</c:v>
                  </c:pt>
                  <c:pt idx="38">
                    <c:v>március</c:v>
                  </c:pt>
                  <c:pt idx="39">
                    <c:v>április</c:v>
                  </c:pt>
                  <c:pt idx="40">
                    <c:v>május</c:v>
                  </c:pt>
                  <c:pt idx="41">
                    <c:v>június</c:v>
                  </c:pt>
                  <c:pt idx="42">
                    <c:v>július</c:v>
                  </c:pt>
                  <c:pt idx="43">
                    <c:v>augusztus</c:v>
                  </c:pt>
                  <c:pt idx="44">
                    <c:v>szeptember</c:v>
                  </c:pt>
                  <c:pt idx="45">
                    <c:v>október</c:v>
                  </c:pt>
                </c:lvl>
                <c:lvl>
                  <c:pt idx="0">
                    <c:v>2020</c:v>
                  </c:pt>
                  <c:pt idx="12">
                    <c:v>2021</c:v>
                  </c:pt>
                  <c:pt idx="24">
                    <c:v>2022</c:v>
                  </c:pt>
                  <c:pt idx="36">
                    <c:v>2023</c:v>
                  </c:pt>
                </c:lvl>
              </c:multiLvlStrCache>
            </c:multiLvlStrRef>
          </c:cat>
          <c:val>
            <c:numRef>
              <c:f>Szezon!$C$3:$C$48</c:f>
              <c:numCache>
                <c:formatCode>#,##0</c:formatCode>
                <c:ptCount val="46"/>
                <c:pt idx="0">
                  <c:v>845</c:v>
                </c:pt>
                <c:pt idx="1">
                  <c:v>931</c:v>
                </c:pt>
                <c:pt idx="2">
                  <c:v>975</c:v>
                </c:pt>
                <c:pt idx="3">
                  <c:v>978</c:v>
                </c:pt>
                <c:pt idx="4">
                  <c:v>830</c:v>
                </c:pt>
                <c:pt idx="5">
                  <c:v>597</c:v>
                </c:pt>
                <c:pt idx="6">
                  <c:v>459</c:v>
                </c:pt>
                <c:pt idx="7">
                  <c:v>479</c:v>
                </c:pt>
                <c:pt idx="8">
                  <c:v>467</c:v>
                </c:pt>
                <c:pt idx="9">
                  <c:v>562</c:v>
                </c:pt>
                <c:pt idx="10">
                  <c:v>663</c:v>
                </c:pt>
                <c:pt idx="11">
                  <c:v>729</c:v>
                </c:pt>
                <c:pt idx="12">
                  <c:v>874</c:v>
                </c:pt>
                <c:pt idx="13">
                  <c:v>877</c:v>
                </c:pt>
                <c:pt idx="14">
                  <c:v>894</c:v>
                </c:pt>
                <c:pt idx="15">
                  <c:v>959</c:v>
                </c:pt>
                <c:pt idx="16">
                  <c:v>777</c:v>
                </c:pt>
                <c:pt idx="17">
                  <c:v>627</c:v>
                </c:pt>
                <c:pt idx="18">
                  <c:v>584</c:v>
                </c:pt>
                <c:pt idx="19">
                  <c:v>523</c:v>
                </c:pt>
                <c:pt idx="20">
                  <c:v>614</c:v>
                </c:pt>
                <c:pt idx="21">
                  <c:v>637</c:v>
                </c:pt>
                <c:pt idx="22">
                  <c:v>717</c:v>
                </c:pt>
                <c:pt idx="23">
                  <c:v>763</c:v>
                </c:pt>
                <c:pt idx="24">
                  <c:v>951</c:v>
                </c:pt>
                <c:pt idx="25">
                  <c:v>1090</c:v>
                </c:pt>
                <c:pt idx="26">
                  <c:v>1270</c:v>
                </c:pt>
                <c:pt idx="27">
                  <c:v>1390</c:v>
                </c:pt>
                <c:pt idx="28">
                  <c:v>1070</c:v>
                </c:pt>
                <c:pt idx="29">
                  <c:v>889</c:v>
                </c:pt>
                <c:pt idx="30">
                  <c:v>748</c:v>
                </c:pt>
                <c:pt idx="31">
                  <c:v>686</c:v>
                </c:pt>
                <c:pt idx="32">
                  <c:v>696</c:v>
                </c:pt>
                <c:pt idx="33">
                  <c:v>1010</c:v>
                </c:pt>
                <c:pt idx="34">
                  <c:v>1100</c:v>
                </c:pt>
                <c:pt idx="35">
                  <c:v>1100</c:v>
                </c:pt>
                <c:pt idx="36">
                  <c:v>1280</c:v>
                </c:pt>
                <c:pt idx="37">
                  <c:v>1550</c:v>
                </c:pt>
                <c:pt idx="38">
                  <c:v>1870</c:v>
                </c:pt>
                <c:pt idx="39">
                  <c:v>1630</c:v>
                </c:pt>
                <c:pt idx="40">
                  <c:v>1340</c:v>
                </c:pt>
                <c:pt idx="41">
                  <c:v>1000</c:v>
                </c:pt>
                <c:pt idx="42">
                  <c:v>798</c:v>
                </c:pt>
                <c:pt idx="43">
                  <c:v>630</c:v>
                </c:pt>
                <c:pt idx="44">
                  <c:v>664</c:v>
                </c:pt>
                <c:pt idx="45">
                  <c:v>825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814-45D1-96AB-651A5674E757}"/>
            </c:ext>
          </c:extLst>
        </c:ser>
        <c:ser>
          <c:idx val="1"/>
          <c:order val="1"/>
          <c:tx>
            <c:strRef>
              <c:f>Szezon!$F$2</c:f>
              <c:strCache>
                <c:ptCount val="1"/>
                <c:pt idx="0">
                  <c:v>Szezonális kiigazított idősor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multiLvlStrRef>
              <c:f>Szezon!$A$3:$B$48</c:f>
              <c:multiLvlStrCache>
                <c:ptCount val="46"/>
                <c:lvl>
                  <c:pt idx="0">
                    <c:v>január</c:v>
                  </c:pt>
                  <c:pt idx="1">
                    <c:v>február</c:v>
                  </c:pt>
                  <c:pt idx="2">
                    <c:v>március</c:v>
                  </c:pt>
                  <c:pt idx="3">
                    <c:v>április</c:v>
                  </c:pt>
                  <c:pt idx="4">
                    <c:v>május</c:v>
                  </c:pt>
                  <c:pt idx="5">
                    <c:v>június</c:v>
                  </c:pt>
                  <c:pt idx="6">
                    <c:v>július</c:v>
                  </c:pt>
                  <c:pt idx="7">
                    <c:v>augusztus</c:v>
                  </c:pt>
                  <c:pt idx="8">
                    <c:v>szeptember</c:v>
                  </c:pt>
                  <c:pt idx="9">
                    <c:v>október</c:v>
                  </c:pt>
                  <c:pt idx="10">
                    <c:v>november</c:v>
                  </c:pt>
                  <c:pt idx="11">
                    <c:v>december</c:v>
                  </c:pt>
                  <c:pt idx="12">
                    <c:v>január</c:v>
                  </c:pt>
                  <c:pt idx="13">
                    <c:v>február</c:v>
                  </c:pt>
                  <c:pt idx="14">
                    <c:v>március</c:v>
                  </c:pt>
                  <c:pt idx="15">
                    <c:v>április</c:v>
                  </c:pt>
                  <c:pt idx="16">
                    <c:v>május</c:v>
                  </c:pt>
                  <c:pt idx="17">
                    <c:v>június</c:v>
                  </c:pt>
                  <c:pt idx="18">
                    <c:v>július</c:v>
                  </c:pt>
                  <c:pt idx="19">
                    <c:v>augusztus</c:v>
                  </c:pt>
                  <c:pt idx="20">
                    <c:v>szeptember</c:v>
                  </c:pt>
                  <c:pt idx="21">
                    <c:v>október</c:v>
                  </c:pt>
                  <c:pt idx="22">
                    <c:v>november</c:v>
                  </c:pt>
                  <c:pt idx="23">
                    <c:v>december</c:v>
                  </c:pt>
                  <c:pt idx="24">
                    <c:v>január</c:v>
                  </c:pt>
                  <c:pt idx="25">
                    <c:v>február</c:v>
                  </c:pt>
                  <c:pt idx="26">
                    <c:v>március</c:v>
                  </c:pt>
                  <c:pt idx="27">
                    <c:v>április</c:v>
                  </c:pt>
                  <c:pt idx="28">
                    <c:v>május</c:v>
                  </c:pt>
                  <c:pt idx="29">
                    <c:v>június</c:v>
                  </c:pt>
                  <c:pt idx="30">
                    <c:v>július</c:v>
                  </c:pt>
                  <c:pt idx="31">
                    <c:v>augusztus</c:v>
                  </c:pt>
                  <c:pt idx="32">
                    <c:v>szeptember</c:v>
                  </c:pt>
                  <c:pt idx="33">
                    <c:v>október</c:v>
                  </c:pt>
                  <c:pt idx="34">
                    <c:v>november</c:v>
                  </c:pt>
                  <c:pt idx="35">
                    <c:v>december</c:v>
                  </c:pt>
                  <c:pt idx="36">
                    <c:v>január</c:v>
                  </c:pt>
                  <c:pt idx="37">
                    <c:v>február</c:v>
                  </c:pt>
                  <c:pt idx="38">
                    <c:v>március</c:v>
                  </c:pt>
                  <c:pt idx="39">
                    <c:v>április</c:v>
                  </c:pt>
                  <c:pt idx="40">
                    <c:v>május</c:v>
                  </c:pt>
                  <c:pt idx="41">
                    <c:v>június</c:v>
                  </c:pt>
                  <c:pt idx="42">
                    <c:v>július</c:v>
                  </c:pt>
                  <c:pt idx="43">
                    <c:v>augusztus</c:v>
                  </c:pt>
                  <c:pt idx="44">
                    <c:v>szeptember</c:v>
                  </c:pt>
                  <c:pt idx="45">
                    <c:v>október</c:v>
                  </c:pt>
                </c:lvl>
                <c:lvl>
                  <c:pt idx="0">
                    <c:v>2020</c:v>
                  </c:pt>
                  <c:pt idx="12">
                    <c:v>2021</c:v>
                  </c:pt>
                  <c:pt idx="24">
                    <c:v>2022</c:v>
                  </c:pt>
                  <c:pt idx="36">
                    <c:v>2023</c:v>
                  </c:pt>
                </c:lvl>
              </c:multiLvlStrCache>
            </c:multiLvlStrRef>
          </c:cat>
          <c:val>
            <c:numRef>
              <c:f>Szezon!$F$3:$F$48</c:f>
              <c:numCache>
                <c:formatCode>#,##0</c:formatCode>
                <c:ptCount val="46"/>
                <c:pt idx="0">
                  <c:v>806.3756758949271</c:v>
                </c:pt>
                <c:pt idx="1">
                  <c:v>899.2008086682763</c:v>
                </c:pt>
                <c:pt idx="2">
                  <c:v>1000.5216258222351</c:v>
                </c:pt>
                <c:pt idx="3">
                  <c:v>996.93303788590288</c:v>
                </c:pt>
                <c:pt idx="4">
                  <c:v>808.12074236617582</c:v>
                </c:pt>
                <c:pt idx="5">
                  <c:v>624.22478593733445</c:v>
                </c:pt>
                <c:pt idx="6">
                  <c:v>518.78925298841864</c:v>
                </c:pt>
                <c:pt idx="7">
                  <c:v>470.03529999798405</c:v>
                </c:pt>
                <c:pt idx="8">
                  <c:v>493.87129572642039</c:v>
                </c:pt>
                <c:pt idx="9">
                  <c:v>608.21664304064279</c:v>
                </c:pt>
                <c:pt idx="10">
                  <c:v>709.73002120709737</c:v>
                </c:pt>
                <c:pt idx="11">
                  <c:v>744.48725631039702</c:v>
                </c:pt>
                <c:pt idx="12">
                  <c:v>907.7487942663588</c:v>
                </c:pt>
                <c:pt idx="13">
                  <c:v>1014.035852046305</c:v>
                </c:pt>
                <c:pt idx="14">
                  <c:v>1130.2217629804406</c:v>
                </c:pt>
                <c:pt idx="15">
                  <c:v>1128.018528220397</c:v>
                </c:pt>
                <c:pt idx="16">
                  <c:v>915.82473928883064</c:v>
                </c:pt>
                <c:pt idx="17">
                  <c:v>708.49396412252963</c:v>
                </c:pt>
                <c:pt idx="18">
                  <c:v>589.68308272827858</c:v>
                </c:pt>
                <c:pt idx="19">
                  <c:v>535.01337163609776</c:v>
                </c:pt>
                <c:pt idx="20">
                  <c:v>562.89673543779611</c:v>
                </c:pt>
                <c:pt idx="21">
                  <c:v>694.11075266743205</c:v>
                </c:pt>
                <c:pt idx="22">
                  <c:v>810.95052923203343</c:v>
                </c:pt>
                <c:pt idx="23">
                  <c:v>851.65716988854058</c:v>
                </c:pt>
                <c:pt idx="24">
                  <c:v>1039.5746480848327</c:v>
                </c:pt>
                <c:pt idx="25">
                  <c:v>1162.5251415373066</c:v>
                </c:pt>
                <c:pt idx="26">
                  <c:v>1297.0264268179951</c:v>
                </c:pt>
                <c:pt idx="27">
                  <c:v>1295.7316651151064</c:v>
                </c:pt>
                <c:pt idx="28">
                  <c:v>1052.9383739314617</c:v>
                </c:pt>
                <c:pt idx="29">
                  <c:v>815.26171703984846</c:v>
                </c:pt>
                <c:pt idx="30">
                  <c:v>679.09252616593415</c:v>
                </c:pt>
                <c:pt idx="31">
                  <c:v>616.60052752426543</c:v>
                </c:pt>
                <c:pt idx="32">
                  <c:v>649.1978230356367</c:v>
                </c:pt>
                <c:pt idx="33">
                  <c:v>801.06318587615067</c:v>
                </c:pt>
                <c:pt idx="34">
                  <c:v>936.49002483815173</c:v>
                </c:pt>
                <c:pt idx="35">
                  <c:v>984.07005921757923</c:v>
                </c:pt>
                <c:pt idx="36">
                  <c:v>1201.8532373503488</c:v>
                </c:pt>
                <c:pt idx="37">
                  <c:v>1344.6686771412817</c:v>
                </c:pt>
                <c:pt idx="38">
                  <c:v>1500.935617334899</c:v>
                </c:pt>
                <c:pt idx="39">
                  <c:v>1500.0724485700309</c:v>
                </c:pt>
                <c:pt idx="40">
                  <c:v>1219.4616462940687</c:v>
                </c:pt>
                <c:pt idx="41">
                  <c:v>944.52804468929071</c:v>
                </c:pt>
                <c:pt idx="42">
                  <c:v>787.01758330138489</c:v>
                </c:pt>
                <c:pt idx="43">
                  <c:v>714.79676766248701</c:v>
                </c:pt>
                <c:pt idx="44">
                  <c:v>752.77455851994227</c:v>
                </c:pt>
                <c:pt idx="45">
                  <c:v>929.07394266679876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814-45D1-96AB-651A5674E7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6101247"/>
        <c:axId val="354907551"/>
      </c:lineChart>
      <c:catAx>
        <c:axId val="396101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354907551"/>
        <c:crosses val="autoZero"/>
        <c:auto val="1"/>
        <c:lblAlgn val="ctr"/>
        <c:lblOffset val="100"/>
        <c:noMultiLvlLbl val="0"/>
      </c:catAx>
      <c:valAx>
        <c:axId val="354907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396101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709F2-507F-4E34-88C5-65125A536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6348</TotalTime>
  <Pages>4</Pages>
  <Words>438</Words>
  <Characters>3026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Szirák</dc:creator>
  <cp:keywords/>
  <dc:description/>
  <cp:lastModifiedBy>Szabolcs Szirák</cp:lastModifiedBy>
  <cp:revision>1</cp:revision>
  <dcterms:created xsi:type="dcterms:W3CDTF">2023-12-14T19:25:00Z</dcterms:created>
  <dcterms:modified xsi:type="dcterms:W3CDTF">2023-12-19T21:40:00Z</dcterms:modified>
</cp:coreProperties>
</file>