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r w:rsidRPr="003B196C">
        <w:lastRenderedPageBreak/>
        <w:t>Metaprogramozásról általában</w:t>
      </w:r>
    </w:p>
    <w:p w:rsidR="00C1087C" w:rsidRPr="00C1087C" w:rsidRDefault="00765651" w:rsidP="00C1087C">
      <w:r>
        <w:t>[TODO]</w:t>
      </w:r>
    </w:p>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function(a, b) {</w:t>
      </w:r>
      <w:r w:rsidRPr="003B196C">
        <w:br/>
      </w:r>
      <w:r w:rsidRPr="003B196C">
        <w:tab/>
        <w:t>return a &gt; b ? a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r w:rsidRPr="003B196C">
        <w:rPr>
          <w:rStyle w:val="KdrszletChar"/>
        </w:rPr>
        <w:t>apply</w:t>
      </w:r>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  // output: Bobby (60)</w:t>
      </w:r>
    </w:p>
    <w:p w:rsidR="00B236C1" w:rsidRPr="003B196C" w:rsidRDefault="00B236C1" w:rsidP="0005459A">
      <w:r w:rsidRPr="003B196C">
        <w:t xml:space="preserve">Az </w:t>
      </w:r>
      <w:r w:rsidRPr="003B196C">
        <w:rPr>
          <w:rStyle w:val="KdrszletChar"/>
        </w:rPr>
        <w:t>apply()</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 w:name="_Ref386924603"/>
      <w:r w:rsidRPr="003B196C">
        <w:t>Függvény</w:t>
      </w:r>
      <w:r w:rsidR="00346836" w:rsidRPr="003B196C">
        <w:t xml:space="preserve"> </w:t>
      </w:r>
      <w:r w:rsidRPr="003B196C">
        <w:t>makrók</w:t>
      </w:r>
      <w:bookmarkEnd w:id="1"/>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r w:rsidR="00E528DE" w:rsidRPr="003B196C">
        <w:t>debug(x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t xml:space="preserve">    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t xml:space="preserve">debug(x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r w:rsidRPr="003B196C">
        <w:t>Sztringek interpolációja</w:t>
      </w:r>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w:t>
      </w:r>
      <w:r w:rsidR="00C11B92">
        <w:lastRenderedPageBreak/>
        <w:t xml:space="preserve">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lastRenderedPageBreak/>
        <w:t>// 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t>new LogInterpolation(new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2" w:name="_Ref386920398"/>
      <w:r>
        <w:t>Kvázi literál</w:t>
      </w:r>
      <w:r w:rsidR="00760098" w:rsidRPr="003B196C">
        <w:t>ok használata a kódgenerációhoz</w:t>
      </w:r>
      <w:bookmarkEnd w:id="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t>// q prefixxel tudjuk megjelölni a kvázi literálokat</w:t>
      </w:r>
      <w:r>
        <w:br/>
      </w:r>
      <w:r w:rsidRPr="00F36671">
        <w:t>q"val result = callFunction($args)"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lastRenderedPageBreak/>
        <w:t xml:space="preserve">Ha egyszerre több szintaxisfabeli elemet szeretnénk beilleszteni a kvázi literálba, akkor kötelezően meg kell jelölnünk </w:t>
      </w:r>
      <w:r w:rsidRPr="00935FAE">
        <w:rPr>
          <w:rStyle w:val="KdrszletChar"/>
        </w:rPr>
        <w:t>..</w:t>
      </w:r>
      <w:r w:rsidRPr="00935FAE">
        <w:t xml:space="preserve"> operátorral</w:t>
      </w:r>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.NET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lastRenderedPageBreak/>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 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r>
      <w:r w:rsidRPr="003B196C">
        <w:lastRenderedPageBreak/>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r>
      <w:r>
        <w:lastRenderedPageBreak/>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t>//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w:t>
      </w:r>
      <w:r w:rsidR="00926130" w:rsidRPr="003B196C">
        <w:lastRenderedPageBreak/>
        <w:t xml:space="preserve">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
    <w:p w:rsidR="00FE0872" w:rsidRPr="003B196C" w:rsidRDefault="00FE0872" w:rsidP="00FE0872">
      <w:pPr>
        <w:pStyle w:val="Heading4"/>
      </w:pPr>
      <w:r w:rsidRPr="003B196C">
        <w:lastRenderedPageBreak/>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r w:rsidRPr="003B196C">
        <w:lastRenderedPageBreak/>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w:t>
      </w:r>
      <w:r w:rsidR="00525224" w:rsidRPr="003B196C">
        <w:lastRenderedPageBreak/>
        <w:t>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r>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r>
        <w:t>// a makrókat egyszerűbben is tudjuk definiálni</w:t>
      </w:r>
      <w:r>
        <w:br/>
      </w:r>
      <w:r w:rsidR="00DC3071">
        <w:t>macro hello(str as string):</w:t>
      </w:r>
      <w:r w:rsidR="00DC3071">
        <w:br/>
        <w:t xml:space="preserve">  // quasiquote használata, ezzel a szintaxisfával térünk vissza</w:t>
      </w:r>
      <w:r w:rsidR="00DC3071">
        <w:br/>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
    <w:p w:rsidR="00CC5BC1" w:rsidRDefault="00CC5BC1" w:rsidP="00EA01AE">
      <w:pPr>
        <w:pStyle w:val="Heading3"/>
      </w:pPr>
      <w:bookmarkStart w:id="3" w:name="_Ref386927022"/>
      <w:r>
        <w:lastRenderedPageBreak/>
        <w:t>Kvázi literálok használata a nyelvben</w:t>
      </w:r>
      <w:bookmarkEnd w:id="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DC3071">
        <w:rPr>
          <w:rStyle w:val="KdrszletChar"/>
        </w:rPr>
        <w:t>[| …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FA1B62">
        <w:rPr>
          <w:rStyle w:val="KdrszletChar"/>
        </w:rPr>
        <w:t>null</w:t>
      </w:r>
      <w:r w:rsidR="00FA1B62">
        <w:t xml:space="preserve"> értékű vagy sem:</w:t>
      </w:r>
    </w:p>
    <w:p w:rsidR="00CC5BC1"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if (name == null):</w:t>
      </w:r>
      <w:r w:rsidR="00D74B5D">
        <w:br/>
      </w:r>
      <w:r w:rsidR="007670DF">
        <w:lastRenderedPageBreak/>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 Person</w:t>
      </w:r>
      <w:r w:rsidR="00D22872">
        <w:br/>
        <w:t>person = PersonSingleton.GetInstance()</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lastRenderedPageBreak/>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lastRenderedPageBreak/>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A .NET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lastRenderedPageBreak/>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lastRenderedPageBreak/>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4" w:name="_Ref383813744"/>
      <w:r w:rsidRPr="003B196C">
        <w:t>A fordítóprogramokról általában</w:t>
      </w:r>
      <w:bookmarkEnd w:id="4"/>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 w:name="_Ref386099579"/>
      <w:r w:rsidRPr="003B196C">
        <w:rPr>
          <w:rFonts w:eastAsiaTheme="minorEastAsia"/>
        </w:rPr>
        <w:t>Két szintaxisfa uniója</w:t>
      </w:r>
      <w:bookmarkEnd w:id="5"/>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6" w:name="_Ref386099581"/>
      <w:r w:rsidRPr="003B196C">
        <w:rPr>
          <w:rFonts w:eastAsiaTheme="minorEastAsia"/>
        </w:rPr>
        <w:lastRenderedPageBreak/>
        <w:t>Két szintaxisfa metszete</w:t>
      </w:r>
      <w:bookmarkEnd w:id="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7A042A"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7A042A"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7A042A"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7A042A"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7" w:name="_Ref386312422"/>
      <w:r w:rsidRPr="003B196C">
        <w:rPr>
          <w:rFonts w:eastAsiaTheme="minorEastAsia"/>
        </w:rPr>
        <w:t>Szelektor definíciója</w:t>
      </w:r>
      <w:bookmarkEnd w:id="7"/>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757092" r:id="rId10"/>
        </w:object>
      </w:r>
    </w:p>
    <w:bookmarkStart w:id="8"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8"/>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757093" r:id="rId12"/>
        </w:object>
      </w:r>
    </w:p>
    <w:bookmarkStart w:id="9"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9"/>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757094" r:id="rId14"/>
        </w:object>
      </w:r>
    </w:p>
    <w:bookmarkStart w:id="10"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0"/>
    </w:p>
    <w:p w:rsidR="00B222E2" w:rsidRPr="003B196C" w:rsidRDefault="00B222E2" w:rsidP="00B222E2">
      <w:pPr>
        <w:pStyle w:val="Heading3"/>
        <w:rPr>
          <w:rFonts w:eastAsiaTheme="minorEastAsia"/>
        </w:rPr>
      </w:pPr>
      <w:bookmarkStart w:id="11" w:name="_Ref385190089"/>
      <w:r w:rsidRPr="003B196C">
        <w:rPr>
          <w:rFonts w:eastAsiaTheme="minorEastAsia"/>
        </w:rPr>
        <w:t>Szintaxisfa transzformációjának definíciója</w:t>
      </w:r>
      <w:bookmarkEnd w:id="11"/>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7A042A"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7A042A"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12" w:name="_Ref386468775"/>
      <w:r w:rsidRPr="003B196C">
        <w:rPr>
          <w:rFonts w:eastAsiaTheme="minorEastAsia"/>
        </w:rPr>
        <w:t>Metaprogramozás definíciója</w:t>
      </w:r>
      <w:bookmarkEnd w:id="1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7A042A"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3"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7A042A"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757095" r:id="rId16"/>
        </w:object>
      </w:r>
    </w:p>
    <w:bookmarkStart w:id="1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4"/>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757096"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7A042A"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7A042A"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7A042A"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7A042A"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494EDF"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7A042A"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lastRenderedPageBreak/>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7A042A"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757097" r:id="rId20"/>
        </w:object>
      </w:r>
    </w:p>
    <w:bookmarkStart w:id="15"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7A042A"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757098" r:id="rId22"/>
        </w:object>
      </w:r>
    </w:p>
    <w:bookmarkStart w:id="16"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7A042A"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757099" r:id="rId24"/>
        </w:object>
      </w:r>
    </w:p>
    <w:bookmarkStart w:id="17"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7A042A"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757100" r:id="rId26"/>
        </w:object>
      </w:r>
    </w:p>
    <w:bookmarkStart w:id="18"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lastRenderedPageBreak/>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9" w:name="_Ref386231750"/>
      <w:r w:rsidRPr="003B196C">
        <w:t>Diszjunkt részfák esete</w:t>
      </w:r>
      <w:bookmarkEnd w:id="19"/>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757101" r:id="rId28"/>
        </w:object>
      </w:r>
    </w:p>
    <w:bookmarkStart w:id="20"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20"/>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r>
      <w:r w:rsidRPr="003B196C">
        <w:lastRenderedPageBreak/>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r>
      <w:r w:rsidR="003C0F03" w:rsidRPr="003B196C">
        <w:lastRenderedPageBreak/>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21" w:name="_Ref386314628"/>
      <w:r w:rsidRPr="003B196C">
        <w:t>Egymást tartalmazó részfák esete</w:t>
      </w:r>
      <w:bookmarkEnd w:id="21"/>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r>
      <w:r w:rsidR="00932924">
        <w:lastRenderedPageBreak/>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r>
      <w:r w:rsidR="00DB2A8D">
        <w:lastRenderedPageBreak/>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757102" r:id="rId30"/>
        </w:object>
      </w:r>
    </w:p>
    <w:bookmarkStart w:id="22"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2"/>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w:t>
      </w:r>
      <w:r w:rsidR="006E53FA" w:rsidRPr="003B196C">
        <w:lastRenderedPageBreak/>
        <w:t xml:space="preserve">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7A042A"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757103" r:id="rId32"/>
        </w:object>
      </w:r>
    </w:p>
    <w:bookmarkStart w:id="23"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3"/>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4" w:name="_Ref386322495"/>
      <w:r w:rsidRPr="003B196C">
        <w:t>Transzformációk</w:t>
      </w:r>
      <w:r w:rsidR="00254F18" w:rsidRPr="003B196C">
        <w:t xml:space="preserve"> végrehajtása definiálásuk sorrendjében</w:t>
      </w:r>
      <w:bookmarkEnd w:id="24"/>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5" w:name="_Ref386326104"/>
      <w:r w:rsidRPr="003B196C">
        <w:t>Transzformációk végrehajtása prioritásuk sorrendjében</w:t>
      </w:r>
      <w:bookmarkEnd w:id="2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6" w:name="_Ref386326466"/>
      <w:r w:rsidRPr="003B196C">
        <w:t>Transzformációk közötti függőségek definiálása</w:t>
      </w:r>
      <w:bookmarkEnd w:id="2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.NET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bookmarkStart w:id="27" w:name="_GoBack"/>
      <w:bookmarkEnd w:id="27"/>
    </w:p>
    <w:p w:rsidR="00273A47" w:rsidRDefault="00384AB6" w:rsidP="00EC5C26">
      <w:pPr>
        <w:rPr>
          <w:rFonts w:eastAsiaTheme="minorEastAsia"/>
        </w:rPr>
      </w:pPr>
      <w:r>
        <w:rPr>
          <w:rFonts w:eastAsiaTheme="minorEastAsia"/>
        </w:rPr>
        <w:t>Egyetlen hátránya mindkét megoldásnak,</w:t>
      </w:r>
      <w:r>
        <w:rPr>
          <w:rFonts w:eastAsiaTheme="minorEastAsia"/>
        </w:rPr>
        <w:t xml:space="preserve">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 xml:space="preserve">Ezután törölnünk kell a kilépési pontokat, és úgy kell transzformálnunk a fát, hogy az utána következő utasítások már biztosan ne fussanak le. Ezt elágazások definiálásával </w:t>
      </w:r>
      <w:r>
        <w:rPr>
          <w:rFonts w:eastAsiaTheme="minorEastAsia"/>
        </w:rPr>
        <w:lastRenderedPageBreak/>
        <w:t>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44264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rendelkezésünkre az implementációhoz. </w:t>
      </w:r>
    </w:p>
    <w:p w:rsidR="00F550D6" w:rsidRPr="00F550D6" w:rsidRDefault="00F550D6" w:rsidP="00F550D6">
      <w:r>
        <w:t>[TODO]</w:t>
      </w:r>
    </w:p>
    <w:p w:rsidR="00745695" w:rsidRDefault="00745695" w:rsidP="00745695">
      <w:pPr>
        <w:pStyle w:val="Heading3"/>
      </w:pPr>
      <w:r w:rsidRPr="003B196C">
        <w:t>Aspektus-orientált programozás</w:t>
      </w:r>
    </w:p>
    <w:p w:rsidR="0099364E" w:rsidRPr="0099364E" w:rsidRDefault="0099364E" w:rsidP="0099364E">
      <w:r>
        <w:t>[TODO]</w:t>
      </w:r>
    </w:p>
    <w:p w:rsidR="0099364E" w:rsidRDefault="00CD4C49" w:rsidP="0072034C">
      <w:pPr>
        <w:pStyle w:val="Heading3"/>
      </w:pPr>
      <w:r>
        <w:t>Domain-Specific Language (DSL)</w:t>
      </w:r>
      <w:r w:rsidR="00745695" w:rsidRPr="003B196C">
        <w:t xml:space="preserve"> definiálása</w:t>
      </w:r>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lastRenderedPageBreak/>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∈V</m:t>
              </m:r>
              <m:r>
                <w:rPr>
                  <w:rFonts w:ascii="Cambria Math" w:eastAsiaTheme="minorEastAsia" w:hAnsi="Cambria Math"/>
                </w:rPr>
                <m:t xml:space="preserve">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sz w:val="22"/>
                    </w:rPr>
                    <m:t>[azonosító]([szöveg])</m:t>
                  </m:r>
                  <m:r>
                    <w:rPr>
                      <w:rFonts w:ascii="Cambria Math" w:eastAsiaTheme="minorEastAsia" w:hAnsi="Cambria Math"/>
                    </w:rPr>
                    <m:t>∧</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amivel sokkal gyorsabbá, és biztonságosabbá válhat a fejlesztés is. </w:t>
      </w:r>
    </w:p>
    <w:p w:rsidR="00F10148" w:rsidRDefault="00F10148" w:rsidP="00F10148">
      <w:pPr>
        <w:pStyle w:val="Heading3"/>
      </w:pPr>
      <w:r w:rsidRPr="003B196C">
        <w:t>Tesztelés makrókkal (mockolás)</w:t>
      </w:r>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w:t>
      </w:r>
      <w:r>
        <w:lastRenderedPageBreak/>
        <w:t xml:space="preserve">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8" w:name="_Ref385678615"/>
      <w:r w:rsidRPr="003B196C">
        <w:t>Eugene Burmako: Philosophy of Scala Macros. St. Loius,</w:t>
      </w:r>
    </w:p>
    <w:p w:rsidR="00B44BFE" w:rsidRPr="003B196C" w:rsidRDefault="007A042A"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8"/>
    </w:p>
    <w:p w:rsidR="00B44BFE" w:rsidRPr="003B196C" w:rsidRDefault="00B97487" w:rsidP="00725DDA">
      <w:pPr>
        <w:pStyle w:val="ListParagraph"/>
        <w:numPr>
          <w:ilvl w:val="0"/>
          <w:numId w:val="12"/>
        </w:numPr>
      </w:pPr>
      <w:bookmarkStart w:id="29" w:name="_Ref385698827"/>
      <w:r w:rsidRPr="003B196C">
        <w:t>Macro paradise plugin,</w:t>
      </w:r>
      <w:bookmarkEnd w:id="29"/>
      <w:r w:rsidRPr="003B196C">
        <w:t xml:space="preserve"> </w:t>
      </w:r>
    </w:p>
    <w:p w:rsidR="00B44BFE" w:rsidRPr="003B196C" w:rsidRDefault="007A042A"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30" w:name="_Ref386925188"/>
      <w:r>
        <w:t>Macro bundles,</w:t>
      </w:r>
    </w:p>
    <w:p w:rsidR="00810591" w:rsidRDefault="007A042A" w:rsidP="00810591">
      <w:pPr>
        <w:pStyle w:val="ListParagraph"/>
        <w:ind w:left="1077" w:firstLine="0"/>
      </w:pPr>
      <w:hyperlink r:id="rId35"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810591" w:rsidRDefault="006922E8" w:rsidP="00810591">
      <w:pPr>
        <w:pStyle w:val="ListParagraph"/>
        <w:numPr>
          <w:ilvl w:val="0"/>
          <w:numId w:val="12"/>
        </w:numPr>
      </w:pPr>
      <w:r>
        <w:t xml:space="preserve">Denys Shabalin, </w:t>
      </w:r>
      <w:r w:rsidRPr="00810591">
        <w:t>Eugene Burmako</w:t>
      </w:r>
      <w:r>
        <w:t xml:space="preserve">, </w:t>
      </w:r>
      <w:r w:rsidRPr="00810591">
        <w:t>Martin Odersky</w:t>
      </w:r>
      <w:r>
        <w:t xml:space="preserve">: </w:t>
      </w:r>
      <w:r w:rsidR="00810591" w:rsidRPr="00810591">
        <w:t>Quasiquotes for Scala, a Technical Report</w:t>
      </w:r>
    </w:p>
    <w:bookmarkEnd w:id="30"/>
    <w:p w:rsidR="00810591" w:rsidRDefault="00810591" w:rsidP="00810591">
      <w:pPr>
        <w:pStyle w:val="ListParagraph"/>
        <w:ind w:left="1077" w:firstLine="0"/>
      </w:pPr>
      <w:r>
        <w:fldChar w:fldCharType="begin"/>
      </w:r>
      <w:r>
        <w:instrText xml:space="preserve"> HYPERLINK "</w:instrText>
      </w:r>
      <w:r w:rsidRPr="00810591">
        <w:instrText>http://infoscience.epfl.ch/record/185242/files/QuasiquotesForScala.pdf</w:instrText>
      </w:r>
      <w:r>
        <w:instrText xml:space="preserve">" </w:instrText>
      </w:r>
      <w:r>
        <w:fldChar w:fldCharType="separate"/>
      </w:r>
      <w:r w:rsidRPr="00231F7C">
        <w:rPr>
          <w:rStyle w:val="Hyperlink"/>
        </w:rPr>
        <w:t>http://infoscience.epfl.ch/record/185242/files/QuasiquotesForScala.pdf</w:t>
      </w:r>
      <w:r>
        <w:fldChar w:fldCharType="end"/>
      </w:r>
    </w:p>
    <w:p w:rsidR="00810591" w:rsidRDefault="00810591" w:rsidP="00810591">
      <w:pPr>
        <w:pStyle w:val="ListParagraph"/>
        <w:ind w:left="1077" w:firstLine="0"/>
      </w:pPr>
      <w:r>
        <w:t>2013. március</w:t>
      </w:r>
    </w:p>
    <w:sectPr w:rsidR="0081059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3CD" w:rsidRDefault="00BC13CD" w:rsidP="003C61AA">
      <w:pPr>
        <w:spacing w:after="0" w:line="240" w:lineRule="auto"/>
      </w:pPr>
      <w:r>
        <w:separator/>
      </w:r>
    </w:p>
  </w:endnote>
  <w:endnote w:type="continuationSeparator" w:id="0">
    <w:p w:rsidR="00BC13CD" w:rsidRDefault="00BC13CD"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3CD" w:rsidRDefault="00BC13CD" w:rsidP="003C61AA">
      <w:pPr>
        <w:spacing w:after="0" w:line="240" w:lineRule="auto"/>
      </w:pPr>
      <w:r>
        <w:separator/>
      </w:r>
    </w:p>
  </w:footnote>
  <w:footnote w:type="continuationSeparator" w:id="0">
    <w:p w:rsidR="00BC13CD" w:rsidRDefault="00BC13CD" w:rsidP="003C61AA">
      <w:pPr>
        <w:spacing w:after="0" w:line="240" w:lineRule="auto"/>
      </w:pPr>
      <w:r>
        <w:continuationSeparator/>
      </w:r>
    </w:p>
  </w:footnote>
  <w:footnote w:id="1">
    <w:p w:rsidR="007A042A" w:rsidRDefault="007A042A">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7A042A" w:rsidRDefault="007A042A">
      <w:pPr>
        <w:pStyle w:val="FootnoteText"/>
      </w:pPr>
      <w:r>
        <w:rPr>
          <w:rStyle w:val="FootnoteReference"/>
        </w:rPr>
        <w:footnoteRef/>
      </w:r>
      <w:r>
        <w:t xml:space="preserve"> Érthető módon a paraméter értéke általában nem áll rendelkezésre fordítási időben.</w:t>
      </w:r>
    </w:p>
  </w:footnote>
  <w:footnote w:id="3">
    <w:p w:rsidR="007A042A" w:rsidRDefault="007A042A">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7A042A" w:rsidRPr="00E10B0E" w:rsidRDefault="007A042A"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7A042A" w:rsidRDefault="007A042A">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7A042A" w:rsidRDefault="007A042A">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7A042A" w:rsidRDefault="007A042A">
      <w:pPr>
        <w:pStyle w:val="FootnoteText"/>
      </w:pPr>
      <w:r>
        <w:rPr>
          <w:rStyle w:val="FootnoteReference"/>
        </w:rPr>
        <w:footnoteRef/>
      </w:r>
      <w:r>
        <w:t xml:space="preserve"> (extended) Backus-Naur forma, amit 2-es típusú Chomsky-féle nyelvek formális definiálásra szoktak használni</w:t>
      </w:r>
    </w:p>
  </w:footnote>
  <w:footnote w:id="8">
    <w:p w:rsidR="007A042A" w:rsidRDefault="007A042A">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7A042A" w:rsidRDefault="007A042A">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7A042A" w:rsidRDefault="007A042A">
      <w:pPr>
        <w:pStyle w:val="FootnoteText"/>
      </w:pPr>
      <w:r>
        <w:rPr>
          <w:rStyle w:val="FootnoteReference"/>
        </w:rPr>
        <w:footnoteRef/>
      </w:r>
      <w:r>
        <w:t xml:space="preserve"> Azaz függvényből vagy eljárásból. </w:t>
      </w:r>
    </w:p>
  </w:footnote>
  <w:footnote w:id="11">
    <w:p w:rsidR="00BC3E7B" w:rsidRDefault="00BC3E7B">
      <w:pPr>
        <w:pStyle w:val="FootnoteText"/>
      </w:pPr>
      <w:r>
        <w:rPr>
          <w:rStyle w:val="FootnoteReference"/>
        </w:rPr>
        <w:footnoteRef/>
      </w:r>
      <w:r>
        <w:t xml:space="preserve"> Illetve </w:t>
      </w:r>
      <w:r w:rsidRPr="00051576">
        <w:rPr>
          <w:rStyle w:val="Fogalom"/>
        </w:rPr>
        <w:t>stub</w:t>
      </w:r>
      <w:r>
        <w:t>-okat is létrehozhatunk. A tesztelés világában sokszor keverik a két fogalmat, pedig</w:t>
      </w:r>
      <w:r w:rsidR="00051576">
        <w:t xml:space="preserve"> nem árt tudni, hogy</w:t>
      </w:r>
      <w:r>
        <w:t xml:space="preserve"> a kettő nem ugyanaz. A </w:t>
      </w:r>
      <w:r w:rsidRPr="00051576">
        <w:rPr>
          <w:rStyle w:val="Fogalom"/>
        </w:rPr>
        <w:t>stub</w:t>
      </w:r>
      <w:r>
        <w:t xml:space="preserve">-ok </w:t>
      </w:r>
      <w:r w:rsidR="00051576">
        <w:t xml:space="preserve">kevesebb funkcióval rendelkeznek, mint a </w:t>
      </w:r>
      <w:r w:rsidR="00051576" w:rsidRPr="00051576">
        <w:rPr>
          <w:rStyle w:val="Fogalom"/>
        </w:rPr>
        <w:t>mock</w:t>
      </w:r>
      <w:r w:rsidR="00051576">
        <w:t xml:space="preserve">-ok. A </w:t>
      </w:r>
      <w:r w:rsidR="00051576" w:rsidRPr="00051576">
        <w:rPr>
          <w:rStyle w:val="Fogalom"/>
        </w:rPr>
        <w:t>mock</w:t>
      </w:r>
      <w:r w:rsidR="00051576">
        <w:t xml:space="preserve">-ok képesek azt is figyelembe venni, hogy a tesztelés alatt lévő objektum vajon jól használta-e a mockolt objektumot (jó sorrendben hívta-e meg a függőség függvényeit, ha igen, akkor hányszor hívta meg őket stb.), míg a </w:t>
      </w:r>
      <w:r w:rsidR="00051576" w:rsidRPr="00051576">
        <w:rPr>
          <w:rStyle w:val="Fogalom"/>
        </w:rPr>
        <w:t>stub</w:t>
      </w:r>
      <w:r w:rsidR="00051576">
        <w:t>-ok erre nem képesek.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2686"/>
    <w:rsid w:val="00014B88"/>
    <w:rsid w:val="00015423"/>
    <w:rsid w:val="000165EF"/>
    <w:rsid w:val="00016900"/>
    <w:rsid w:val="00017191"/>
    <w:rsid w:val="00020ABB"/>
    <w:rsid w:val="0002232F"/>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1576"/>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67CEB"/>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3FEC"/>
    <w:rsid w:val="000A6BB9"/>
    <w:rsid w:val="000A7278"/>
    <w:rsid w:val="000B02DF"/>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16A7"/>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20F4D"/>
    <w:rsid w:val="0012163E"/>
    <w:rsid w:val="00122598"/>
    <w:rsid w:val="00122956"/>
    <w:rsid w:val="001234F6"/>
    <w:rsid w:val="00123DDE"/>
    <w:rsid w:val="00124A57"/>
    <w:rsid w:val="00124FB8"/>
    <w:rsid w:val="001275F0"/>
    <w:rsid w:val="00127F7E"/>
    <w:rsid w:val="001339E8"/>
    <w:rsid w:val="00136053"/>
    <w:rsid w:val="00136820"/>
    <w:rsid w:val="001378F7"/>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91C"/>
    <w:rsid w:val="004C57ED"/>
    <w:rsid w:val="004C7557"/>
    <w:rsid w:val="004D08EC"/>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77A64"/>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7D13"/>
    <w:rsid w:val="00674DD6"/>
    <w:rsid w:val="0067508D"/>
    <w:rsid w:val="00675D30"/>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34D"/>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855"/>
    <w:rsid w:val="00964BC0"/>
    <w:rsid w:val="009668E2"/>
    <w:rsid w:val="0097583E"/>
    <w:rsid w:val="009763D2"/>
    <w:rsid w:val="0098130E"/>
    <w:rsid w:val="00983970"/>
    <w:rsid w:val="00985A0D"/>
    <w:rsid w:val="0098647B"/>
    <w:rsid w:val="009877EB"/>
    <w:rsid w:val="00990991"/>
    <w:rsid w:val="0099145D"/>
    <w:rsid w:val="00992351"/>
    <w:rsid w:val="0099364E"/>
    <w:rsid w:val="009949A7"/>
    <w:rsid w:val="009951E2"/>
    <w:rsid w:val="0099662A"/>
    <w:rsid w:val="009976FA"/>
    <w:rsid w:val="009A051D"/>
    <w:rsid w:val="009A0558"/>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9F4FA9"/>
    <w:rsid w:val="00A00333"/>
    <w:rsid w:val="00A0033F"/>
    <w:rsid w:val="00A01C08"/>
    <w:rsid w:val="00A02A85"/>
    <w:rsid w:val="00A07040"/>
    <w:rsid w:val="00A07FC1"/>
    <w:rsid w:val="00A10F45"/>
    <w:rsid w:val="00A11A94"/>
    <w:rsid w:val="00A151BA"/>
    <w:rsid w:val="00A208FB"/>
    <w:rsid w:val="00A20926"/>
    <w:rsid w:val="00A23408"/>
    <w:rsid w:val="00A23A1C"/>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33E9"/>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10B"/>
    <w:rsid w:val="00B262C4"/>
    <w:rsid w:val="00B31116"/>
    <w:rsid w:val="00B33B2C"/>
    <w:rsid w:val="00B37ED5"/>
    <w:rsid w:val="00B404F4"/>
    <w:rsid w:val="00B4362F"/>
    <w:rsid w:val="00B43B47"/>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96C"/>
    <w:rsid w:val="00B95447"/>
    <w:rsid w:val="00B97487"/>
    <w:rsid w:val="00BA1530"/>
    <w:rsid w:val="00BA17E4"/>
    <w:rsid w:val="00BA1E64"/>
    <w:rsid w:val="00BA54A8"/>
    <w:rsid w:val="00BA6794"/>
    <w:rsid w:val="00BA6D38"/>
    <w:rsid w:val="00BA7603"/>
    <w:rsid w:val="00BB156E"/>
    <w:rsid w:val="00BB28CD"/>
    <w:rsid w:val="00BB387B"/>
    <w:rsid w:val="00BB470F"/>
    <w:rsid w:val="00BB608A"/>
    <w:rsid w:val="00BB6391"/>
    <w:rsid w:val="00BB6692"/>
    <w:rsid w:val="00BB710A"/>
    <w:rsid w:val="00BB78F2"/>
    <w:rsid w:val="00BC13CD"/>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5BC1"/>
    <w:rsid w:val="00CC637A"/>
    <w:rsid w:val="00CC6D80"/>
    <w:rsid w:val="00CD05ED"/>
    <w:rsid w:val="00CD1B9D"/>
    <w:rsid w:val="00CD36DB"/>
    <w:rsid w:val="00CD4C49"/>
    <w:rsid w:val="00CD65E7"/>
    <w:rsid w:val="00CD761B"/>
    <w:rsid w:val="00CE22BD"/>
    <w:rsid w:val="00CE2B4E"/>
    <w:rsid w:val="00CE38D4"/>
    <w:rsid w:val="00CE3C4A"/>
    <w:rsid w:val="00CE5E6D"/>
    <w:rsid w:val="00CE607D"/>
    <w:rsid w:val="00CE6174"/>
    <w:rsid w:val="00CE6731"/>
    <w:rsid w:val="00CE7751"/>
    <w:rsid w:val="00CE7D15"/>
    <w:rsid w:val="00CF18EC"/>
    <w:rsid w:val="00CF3F09"/>
    <w:rsid w:val="00CF435D"/>
    <w:rsid w:val="00CF55D7"/>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269"/>
    <w:rsid w:val="00EC1321"/>
    <w:rsid w:val="00EC3A18"/>
    <w:rsid w:val="00EC5C26"/>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bund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F3433CA7-5686-4892-A42E-6D46770E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6806</TotalTime>
  <Pages>80</Pages>
  <Words>15808</Words>
  <Characters>109076</Characters>
  <Application>Microsoft Office Word</Application>
  <DocSecurity>0</DocSecurity>
  <Lines>908</Lines>
  <Paragraphs>249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28</cp:revision>
  <cp:lastPrinted>2014-04-26T08:21:00Z</cp:lastPrinted>
  <dcterms:created xsi:type="dcterms:W3CDTF">2014-03-08T22:42:00Z</dcterms:created>
  <dcterms:modified xsi:type="dcterms:W3CDTF">2014-05-04T23:00:00Z</dcterms:modified>
</cp:coreProperties>
</file>