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Heading1"/>
      </w:pPr>
      <w:r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Heading1"/>
      </w:pPr>
      <w:r>
        <w:lastRenderedPageBreak/>
        <w:t>Metaprogramozás a mai programozási nyelvekben</w:t>
      </w:r>
    </w:p>
    <w:p w:rsidR="002525BF" w:rsidRPr="00563234" w:rsidRDefault="00DB6C1E" w:rsidP="00A02A85">
      <w:pPr>
        <w:pStyle w:val="Heading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Heading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Default="007240C6" w:rsidP="00A02A85">
      <w:pPr>
        <w:pStyle w:val="Kdrszlet"/>
      </w:pPr>
      <w:r>
        <w:t>// megkeresi az iostream fájlt és annak a tartalmát bemásolja</w:t>
      </w:r>
      <w:r>
        <w:br/>
      </w:r>
      <w:r w:rsidR="005D6441">
        <w:t xml:space="preserve">#include &lt;iostream&gt; </w:t>
      </w:r>
      <w:r>
        <w:br/>
      </w:r>
      <w:r w:rsidR="005D6441">
        <w:t>int main() {</w:t>
      </w:r>
      <w:r>
        <w:br/>
      </w:r>
      <w:r w:rsidR="005D6441">
        <w:tab/>
        <w:t>std::cout &lt;&lt; "Hello World!" &lt;&lt; std::endl;</w:t>
      </w:r>
      <w:r>
        <w:br/>
      </w:r>
      <w:r w:rsidR="005D6441">
        <w:tab/>
        <w:t>return 0;</w:t>
      </w:r>
      <w:r>
        <w:br/>
      </w:r>
      <w:r w:rsidR="005D6441">
        <w:t>}</w:t>
      </w:r>
    </w:p>
    <w:p w:rsidR="00F164F8" w:rsidRDefault="00F14D49" w:rsidP="00A02A85">
      <w:r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</w:t>
      </w:r>
      <w:r w:rsidR="001C363B">
        <w:lastRenderedPageBreak/>
        <w:t>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Default="00F2419B" w:rsidP="00A02A85">
      <w:pPr>
        <w:pStyle w:val="Kdrszlet"/>
      </w:pPr>
      <w:r>
        <w:t>#include &lt;iostream&gt;</w:t>
      </w:r>
      <w:r w:rsidR="00CE2B4E">
        <w:br/>
        <w:t xml:space="preserve">// </w:t>
      </w:r>
      <w:r>
        <w:t xml:space="preserve">megnézi a fordító, hogy definiálták-e már az adott </w:t>
      </w:r>
      <w:r w:rsidR="00CE2B4E">
        <w:t>s</w:t>
      </w:r>
      <w:r>
        <w:t>zimbólumat</w:t>
      </w:r>
      <w:r w:rsidR="00CE2B4E">
        <w:br/>
      </w:r>
      <w:r>
        <w:t xml:space="preserve">#ifndef PERSON_H   </w:t>
      </w:r>
      <w:r w:rsidR="00CE2B4E">
        <w:br/>
      </w:r>
      <w:r w:rsidR="00084862">
        <w:t>// ha nem, akkor megtesszük</w:t>
      </w:r>
      <w:r w:rsidR="00CE2B4E">
        <w:br/>
      </w:r>
      <w:r>
        <w:t>#define PERSON_H</w:t>
      </w:r>
      <w:r w:rsidR="00CE2B4E">
        <w:br/>
      </w:r>
      <w:r w:rsidR="00084862">
        <w:t>// és visszaadjuk a valódi tartalmat</w:t>
      </w:r>
      <w:r w:rsidR="00CE2B4E">
        <w:br/>
      </w:r>
      <w:r w:rsidRPr="0015379E">
        <w:t>struct</w:t>
      </w:r>
      <w:r>
        <w:t xml:space="preserve">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  <w:r w:rsidR="00CE2B4E">
        <w:br/>
      </w:r>
      <w:r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8D481C">
        <w:rPr>
          <w:rStyle w:val="KdrszletChar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Default="00E52B93" w:rsidP="00A02A85">
      <w:pPr>
        <w:pStyle w:val="Kdrszlet"/>
      </w:pPr>
      <w:r>
        <w:t>#pragma once</w:t>
      </w:r>
      <w:r w:rsidR="00CE2B4E">
        <w:br/>
      </w:r>
      <w:r>
        <w:t>struct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</w:p>
    <w:p w:rsidR="004F3DCB" w:rsidRDefault="003310F9" w:rsidP="00A02A85">
      <w:pPr>
        <w:pStyle w:val="Heading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</w:t>
      </w:r>
      <w:r w:rsidR="007800EC">
        <w:lastRenderedPageBreak/>
        <w:t xml:space="preserve">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Heading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8B090A" w:rsidRDefault="008B090A" w:rsidP="00A02A85">
      <w:pPr>
        <w:pStyle w:val="Heading2"/>
      </w:pPr>
      <w:r>
        <w:t>Metaprogramozás Ruby nyelven</w:t>
      </w:r>
    </w:p>
    <w:p w:rsidR="004A63A3" w:rsidRPr="004A63A3" w:rsidRDefault="004A63A3" w:rsidP="004A63A3">
      <w:r>
        <w:t>[TODO]</w:t>
      </w:r>
    </w:p>
    <w:p w:rsidR="008B090A" w:rsidRDefault="008B090A" w:rsidP="00A02A85">
      <w:pPr>
        <w:pStyle w:val="Heading2"/>
      </w:pPr>
      <w:r>
        <w:t>Metaprogramozás Scala nyelven</w:t>
      </w:r>
    </w:p>
    <w:p w:rsidR="004A63A3" w:rsidRPr="004A63A3" w:rsidRDefault="004A63A3" w:rsidP="004A63A3">
      <w:r>
        <w:t>[TODO]</w:t>
      </w:r>
    </w:p>
    <w:p w:rsidR="00DC1F7F" w:rsidRDefault="00DC1F7F" w:rsidP="00DC1F7F">
      <w:pPr>
        <w:pStyle w:val="Heading2"/>
      </w:pPr>
      <w:r>
        <w:t>Metaprogramozás a .NET Framework-ben</w:t>
      </w:r>
    </w:p>
    <w:p w:rsidR="004A63A3" w:rsidRPr="004A63A3" w:rsidRDefault="004A63A3" w:rsidP="004A63A3">
      <w:r>
        <w:t>[TODO]</w:t>
      </w:r>
    </w:p>
    <w:p w:rsidR="00181B4F" w:rsidRDefault="00181B4F" w:rsidP="00181B4F">
      <w:pPr>
        <w:pStyle w:val="Heading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Heading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Heading2"/>
      </w:pPr>
      <w:bookmarkStart w:id="0" w:name="_Ref383813744"/>
      <w:r>
        <w:t>A fordítóprogramokról általában</w:t>
      </w:r>
      <w:bookmarkEnd w:id="0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Heading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Heading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91E8C" w:rsidP="00745695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makrók használatához és ezzel fogjuk szemléltetni, hogy milyen problémák merülhetnek fel az implementáció közben. </w:t>
      </w:r>
    </w:p>
    <w:p w:rsidR="00C31EF8" w:rsidRDefault="00C31EF8" w:rsidP="00C31EF8">
      <w:pPr>
        <w:pStyle w:val="Heading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Heading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φ</m:t>
        </m:r>
      </m:oMath>
      <w:r w:rsidR="00124A57">
        <w:rPr>
          <w:rFonts w:eastAsiaTheme="minorEastAsia"/>
        </w:rPr>
        <w:t xml:space="preserve">. </w:t>
      </w:r>
    </w:p>
    <w:p w:rsidR="00FB6109" w:rsidRDefault="00FB6109" w:rsidP="00D60075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| E\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Heading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A23408" w:rsidRDefault="00A23408" w:rsidP="00A23408">
      <w:pPr>
        <w:pStyle w:val="Heading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</m:t>
          </m:r>
          <m:r>
            <w:rPr>
              <w:rFonts w:ascii="Cambria Math" w:eastAsiaTheme="minorEastAsia" w:hAnsi="Cambria Math"/>
            </w:rPr>
            <m:t>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7898666" r:id="rId10"/>
        </w:object>
      </w:r>
    </w:p>
    <w:bookmarkStart w:id="1" w:name="_Ref383873295"/>
    <w:p w:rsidR="00197D61" w:rsidRPr="006552A4" w:rsidRDefault="006552A4" w:rsidP="006552A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03B38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1"/>
    </w:p>
    <w:p w:rsidR="00552F88" w:rsidRDefault="00552F88" w:rsidP="007179D4">
      <w:pPr>
        <w:pStyle w:val="Heading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D5420">
        <w:t xml:space="preserve"> a)</w:t>
      </w:r>
      <w:r w:rsidR="00EA61ED">
        <w:t xml:space="preserve"> és b)</w:t>
      </w:r>
      <w:r w:rsidR="00426B01">
        <w:t xml:space="preserve"> ábra</w:t>
      </w:r>
      <w:r w:rsidR="00426B01">
        <w:fldChar w:fldCharType="end"/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7898667" r:id="rId12"/>
        </w:object>
      </w:r>
    </w:p>
    <w:bookmarkStart w:id="2" w:name="_Ref383873995"/>
    <w:p w:rsidR="00303B38" w:rsidRDefault="00303B38" w:rsidP="00303B38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2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7898668" r:id="rId14"/>
        </w:object>
      </w:r>
    </w:p>
    <w:p w:rsidR="00303B38" w:rsidRPr="006D7BEF" w:rsidRDefault="00426B01" w:rsidP="00303B38">
      <w:pPr>
        <w:pStyle w:val="Caption"/>
      </w:pPr>
      <w:r>
        <w:t>2</w:t>
      </w:r>
      <w:r w:rsidR="00303B38">
        <w:t>.</w:t>
      </w:r>
      <w:r>
        <w:t xml:space="preserve"> </w:t>
      </w:r>
      <w:bookmarkStart w:id="3" w:name="_Ref383874005"/>
      <w:r>
        <w:t>b)</w:t>
      </w:r>
      <w:r w:rsidR="00303B38">
        <w:t xml:space="preserve"> ábra</w:t>
      </w:r>
      <w:r>
        <w:t xml:space="preserve"> 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>
        <w:rPr>
          <w:rFonts w:eastAsiaTheme="minorEastAsia"/>
        </w:rPr>
        <w:t xml:space="preserve"> szintaxisfa</w:t>
      </w:r>
      <w:bookmarkEnd w:id="3"/>
    </w:p>
    <w:p w:rsidR="00B222E2" w:rsidRDefault="00B222E2" w:rsidP="00B222E2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Szintaxisfa transzformációjának definíciója</w:t>
      </w:r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3F4801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Heading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3F4801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2C6E58" w:rsidP="00AA3DF5">
      <w:pPr>
        <w:pStyle w:val="Heading3"/>
        <w:rPr>
          <w:rFonts w:eastAsiaTheme="minorEastAsia"/>
        </w:rPr>
      </w:pPr>
      <w:bookmarkStart w:id="4" w:name="_Ref383883565"/>
      <w:r>
        <w:rPr>
          <w:rFonts w:eastAsiaTheme="minorEastAsia"/>
        </w:rPr>
        <w:t>Lemma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>
        <w:rPr>
          <w:rFonts w:eastAsiaTheme="minorEastAsia"/>
        </w:rPr>
        <w:t>)</w:t>
      </w:r>
      <w:bookmarkEnd w:id="4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3F4801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E54ED1" w:rsidRDefault="00E54ED1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Továbbá definiáljuk a következő </w:t>
      </w:r>
      <m:oMath>
        <m:r>
          <w:rPr>
            <w:rFonts w:ascii="Cambria Math" w:eastAsiaTheme="minorEastAsia" w:hAnsi="Cambria Math"/>
          </w:rPr>
          <m:t>f:V→{internal, external}</m:t>
        </m:r>
      </m:oMath>
      <w:r>
        <w:rPr>
          <w:rFonts w:eastAsiaTheme="minorEastAsia"/>
        </w:rPr>
        <w:t xml:space="preserve"> függvényt, amivel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szintaxisfa csúcsait címkézzük fel a következőképpen:</w:t>
      </w:r>
    </w:p>
    <w:p w:rsidR="00E54ED1" w:rsidRPr="003C411A" w:rsidRDefault="00E54ED1" w:rsidP="005F45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internal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≠∅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external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E(v)=∅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  <m:r>
          <w:rPr>
            <w:rFonts w:ascii="Cambria Math" w:eastAsiaTheme="minorEastAsia" w:hAnsi="Cambria Math"/>
          </w:rPr>
          <w:tab/>
        </m:r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7B5FC6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80501F" w:rsidRDefault="0080501F" w:rsidP="0013682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</m:t>
        </m:r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812B52" w:rsidRDefault="0080501F" w:rsidP="001A3CCD">
      <w:pPr>
        <w:tabs>
          <w:tab w:val="left" w:pos="382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,v,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,v,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w:bookmarkStart w:id="5" w:name="_GoBack"/>
          <w:bookmarkEnd w:id="5"/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</m:oMathPara>
      <w:r w:rsidR="00812B52">
        <w:rPr>
          <w:rStyle w:val="Fogalom"/>
        </w:rPr>
        <w:t xml:space="preserve">Bizonyítás: </w:t>
      </w:r>
      <w:r w:rsidR="00812B52" w:rsidRPr="00812B52">
        <w:t xml:space="preserve">Vegyünk egy tetszőleges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812B52">
        <w:rPr>
          <w:rFonts w:eastAsiaTheme="minorEastAsia"/>
        </w:rPr>
        <w:t xml:space="preserve"> </w:t>
      </w:r>
      <w:r w:rsidR="00812B52" w:rsidRPr="00812B52">
        <w:t xml:space="preserve">jól definiált szintaxisfát. </w:t>
      </w:r>
      <w:r w:rsidR="005826DD">
        <w:t xml:space="preserve">Az alapötletünk az lesz, hogy vagy az egész szintaxisfát töröljük, vagy helyben hagyjuk. </w:t>
      </w:r>
      <w:r w:rsidR="0026226C">
        <w:t xml:space="preserve">Ehhez </w:t>
      </w:r>
      <w:r w:rsidR="00812B52">
        <w:t xml:space="preserve">a következő </w:t>
      </w:r>
      <m:oMath>
        <m:r>
          <w:rPr>
            <w:rFonts w:ascii="Cambria Math" w:hAnsi="Cambria Math"/>
          </w:rPr>
          <m:t>σ,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812B52">
        <w:rPr>
          <w:rFonts w:eastAsiaTheme="minorEastAsia"/>
        </w:rPr>
        <w:t xml:space="preserve"> szelektorokat</w:t>
      </w:r>
      <w:r w:rsidR="0026226C">
        <w:rPr>
          <w:rFonts w:eastAsiaTheme="minorEastAsia"/>
        </w:rPr>
        <w:t xml:space="preserve"> fogjuk definiálni</w:t>
      </w:r>
      <w:r w:rsidR="00812B52">
        <w:rPr>
          <w:rFonts w:eastAsiaTheme="minorEastAsia"/>
        </w:rPr>
        <w:t>:</w:t>
      </w:r>
    </w:p>
    <w:p w:rsidR="00812B52" w:rsidRPr="00812B52" w:rsidRDefault="00812B52" w:rsidP="001368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{ω}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5826DD" w:rsidRDefault="005826DD" w:rsidP="005826DD">
      <w:pPr>
        <w:rPr>
          <w:rFonts w:eastAsiaTheme="minorEastAsia"/>
        </w:rPr>
      </w:pPr>
      <w:r>
        <w:t xml:space="preserve">A részfák törléséhez és helybenhagyásához a következő </w:t>
      </w:r>
      <m:oMath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makrókat fogjuk definiálni:</w:t>
      </w:r>
    </w:p>
    <w:p w:rsidR="005826DD" w:rsidRPr="005826DD" w:rsidRDefault="005826DD" w:rsidP="005826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≔ω.</m:t>
          </m:r>
        </m:oMath>
      </m:oMathPara>
    </w:p>
    <w:p w:rsidR="005826DD" w:rsidRDefault="00F1782B" w:rsidP="005826D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A következő szintaxisfa transzformációkat fogjuk definiálni a </w:t>
      </w:r>
      <m:oMath>
        <m:r>
          <w:rPr>
            <w:rFonts w:ascii="Cambria Math" w:eastAsiaTheme="minorEastAsia" w:hAnsi="Cambria Math"/>
          </w:rPr>
          <m:t>σ,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szelektorok és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μ,μ'∈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 makrók alapján:</w:t>
      </w:r>
    </w:p>
    <w:p w:rsidR="00F1782B" w:rsidRPr="00F1782B" w:rsidRDefault="00F1782B" w:rsidP="005826D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102FD5" w:rsidRDefault="009434BE" w:rsidP="00136820">
      <w:r w:rsidRPr="00E55509">
        <w:rPr>
          <w:rStyle w:val="Fogalom"/>
        </w:rPr>
        <w:t>Bizonyítás:</w:t>
      </w:r>
      <w:r w:rsidR="00E55509" w:rsidRPr="00E55509">
        <w:t xml:space="preserve"> </w:t>
      </w:r>
      <w:r w:rsidR="00102FD5">
        <w:t>Tegyük fel, hogy a programozási nyelv szintaktikai szabályai megengedik az üres utasítások</w:t>
      </w:r>
      <w:r w:rsidR="00775823">
        <w:t xml:space="preserve"> és a szekvenciák</w:t>
      </w:r>
      <w:r w:rsidR="00102FD5">
        <w:t xml:space="preserve"> definiálását a szintaxisfában. Jelöljük az üres utasítások halmazát </w:t>
      </w:r>
      <m:oMath>
        <m:r>
          <w:rPr>
            <w:rFonts w:ascii="Cambria Math" w:hAnsi="Cambria Math"/>
          </w:rPr>
          <m:t>SKIP⊂AST</m:t>
        </m:r>
      </m:oMath>
      <w:r w:rsidR="00775823">
        <w:rPr>
          <w:rFonts w:eastAsiaTheme="minorEastAsia"/>
        </w:rPr>
        <w:t xml:space="preserve">, míg a szekvenciák halmazát </w:t>
      </w:r>
      <m:oMath>
        <m:r>
          <w:rPr>
            <w:rFonts w:ascii="Cambria Math" w:eastAsiaTheme="minorEastAsia" w:hAnsi="Cambria Math"/>
          </w:rPr>
          <m:t>SEQ⊂AST</m:t>
        </m:r>
      </m:oMath>
      <w:r w:rsidR="00775823">
        <w:rPr>
          <w:rFonts w:eastAsiaTheme="minorEastAsia"/>
        </w:rPr>
        <w:t>-vel.</w:t>
      </w:r>
      <w:r w:rsidR="00102FD5">
        <w:rPr>
          <w:rFonts w:eastAsiaTheme="minorEastAsia"/>
        </w:rPr>
        <w:t xml:space="preserve"> </w:t>
      </w:r>
    </w:p>
    <w:p w:rsidR="00E55509" w:rsidRDefault="00A151BA" w:rsidP="00136820">
      <w:r>
        <w:t xml:space="preserve">Vegyünk egy tetszőleges </w:t>
      </w:r>
      <m:oMath>
        <m:r>
          <w:rPr>
            <w:rFonts w:ascii="Cambria Math" w:hAnsi="Cambria Math"/>
          </w:rPr>
          <m:t>T∈AST</m:t>
        </m:r>
      </m:oMath>
      <w:r w:rsidR="00400C2D">
        <w:t xml:space="preserve"> </w:t>
      </w:r>
      <w:r w:rsidR="00D33D65">
        <w:t>jól definiált szintaxisfát</w:t>
      </w:r>
      <w:r w:rsidR="00D12EC8">
        <w:t>, amelyre igaz, hogy</w:t>
      </w:r>
      <w:r w:rsidR="005A75A4">
        <w:br/>
      </w:r>
      <m:oMath>
        <m:r>
          <w:rPr>
            <w:rFonts w:ascii="Cambria Math" w:hAnsi="Cambria Math"/>
          </w:rPr>
          <m:t>∃t⊂T :t∈SKIP</m:t>
        </m:r>
      </m:oMath>
      <w:r w:rsidR="00D12EC8">
        <w:rPr>
          <w:rFonts w:eastAsiaTheme="minorEastAsia"/>
        </w:rPr>
        <w:t>,</w:t>
      </w:r>
      <w:r w:rsidR="00D33D65">
        <w:t xml:space="preserve"> és definiáljuk a következő szelektorokat:</w:t>
      </w:r>
    </w:p>
    <w:p w:rsidR="00C02607" w:rsidRPr="0092501E" w:rsidRDefault="00D33D65" w:rsidP="0077634E">
      <w:pPr>
        <w:rPr>
          <w:rStyle w:val="Fogalom"/>
          <w:rFonts w:eastAsiaTheme="minorEastAsia"/>
          <w:i w:val="0"/>
        </w:rPr>
      </w:pPr>
      <m:oMathPara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σ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≔</m:t>
          </m:r>
          <m:d>
            <m:dPr>
              <m:begChr m:val="{"/>
              <m:endChr m:val="|"/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 xml:space="preserve"> t⊂T </m:t>
              </m:r>
            </m:e>
          </m:d>
          <m:r>
            <w:rPr>
              <w:rFonts w:ascii="Cambria Math" w:eastAsiaTheme="minorEastAsia" w:hAnsi="Cambria Math"/>
            </w:rPr>
            <m:t xml:space="preserve"> t∈SKIP 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 xml:space="preserve">≔ </m:t>
          </m:r>
          <m:sSub>
            <m:sSub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sSub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id</m:t>
              </m:r>
            </m:sub>
          </m:sSub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.</m:t>
          </m:r>
        </m:oMath>
      </m:oMathPara>
    </w:p>
    <w:p w:rsidR="000E4F5B" w:rsidRDefault="00E807DC" w:rsidP="00A42BF7">
      <w:pPr>
        <w:rPr>
          <w:rStyle w:val="Fogalom"/>
          <w:rFonts w:eastAsiaTheme="minorEastAsia"/>
          <w:i w:val="0"/>
        </w:rPr>
      </w:pPr>
      <w:r>
        <w:rPr>
          <w:rStyle w:val="Fogalom"/>
          <w:rFonts w:eastAsiaTheme="minorEastAsia"/>
          <w:i w:val="0"/>
        </w:rPr>
        <w:t>A</w:t>
      </w:r>
      <w:r w:rsidR="00F17CA2">
        <w:rPr>
          <w:rStyle w:val="Fogalom"/>
          <w:rFonts w:eastAsiaTheme="minorEastAsia"/>
          <w:i w:val="0"/>
        </w:rPr>
        <w:t xml:space="preserve"> </w:t>
      </w:r>
      <m:oMath>
        <m:r>
          <m:rPr>
            <m:sty m:val="p"/>
          </m:rPr>
          <w:rPr>
            <w:rStyle w:val="Fogalom"/>
            <w:rFonts w:ascii="Cambria Math" w:eastAsiaTheme="minorEastAsia" w:hAnsi="Cambria Math"/>
          </w:rPr>
          <m:t>σ'</m:t>
        </m:r>
      </m:oMath>
      <w:r w:rsidR="00F17CA2">
        <w:rPr>
          <w:rStyle w:val="Fogalom"/>
          <w:rFonts w:eastAsiaTheme="minorEastAsia"/>
          <w:i w:val="0"/>
        </w:rPr>
        <w:t xml:space="preserve"> </w:t>
      </w:r>
      <w:r>
        <w:rPr>
          <w:rStyle w:val="Fogalom"/>
          <w:rFonts w:eastAsiaTheme="minorEastAsia"/>
          <w:i w:val="0"/>
        </w:rPr>
        <w:t xml:space="preserve">szelektor </w:t>
      </w:r>
      <w:r w:rsidR="00F6238F">
        <w:rPr>
          <w:rStyle w:val="Fogalom"/>
          <w:rFonts w:eastAsiaTheme="minorEastAsia"/>
          <w:i w:val="0"/>
        </w:rPr>
        <w:t>egy i</w:t>
      </w:r>
      <w:r>
        <w:rPr>
          <w:rStyle w:val="Fogalom"/>
          <w:rFonts w:eastAsiaTheme="minorEastAsia"/>
          <w:i w:val="0"/>
        </w:rPr>
        <w:t xml:space="preserve">dentikus szelektor lesz, míg a </w:t>
      </w:r>
      <m:oMath>
        <m:r>
          <m:rPr>
            <m:sty m:val="p"/>
          </m:rPr>
          <w:rPr>
            <w:rStyle w:val="Fogalom"/>
            <w:rFonts w:ascii="Cambria Math" w:eastAsiaTheme="minorEastAsia" w:hAnsi="Cambria Math"/>
          </w:rPr>
          <m:t>σ</m:t>
        </m:r>
      </m:oMath>
      <w:r>
        <w:rPr>
          <w:rStyle w:val="Fogalom"/>
          <w:rFonts w:eastAsiaTheme="minorEastAsia"/>
          <w:i w:val="0"/>
        </w:rPr>
        <w:t xml:space="preserve"> szelektor esetében bármilyen szintaxisfát is adunk át neki egy üres halmazzal fog visszatérni (ez bármilyen nyelv és szintaxisfa esetén működőképes lehet).  </w:t>
      </w:r>
    </w:p>
    <w:p w:rsidR="00A42BF7" w:rsidRDefault="003A4012" w:rsidP="00A42BF7">
      <w:pPr>
        <w:rPr>
          <w:rStyle w:val="Fogalom"/>
          <w:rFonts w:eastAsiaTheme="minorEastAsia"/>
          <w:i w:val="0"/>
        </w:rPr>
      </w:pPr>
      <w:r>
        <w:rPr>
          <w:rStyle w:val="Fogalom"/>
          <w:rFonts w:eastAsiaTheme="minorEastAsia"/>
          <w:i w:val="0"/>
        </w:rPr>
        <w:t>Hasonlóan a szelektorokhoz, a makrók</w:t>
      </w:r>
      <w:r w:rsidR="001F66AB">
        <w:rPr>
          <w:rStyle w:val="Fogalom"/>
          <w:rFonts w:eastAsiaTheme="minorEastAsia"/>
          <w:i w:val="0"/>
        </w:rPr>
        <w:t>ból</w:t>
      </w:r>
      <w:r>
        <w:rPr>
          <w:rStyle w:val="Fogalom"/>
          <w:rFonts w:eastAsiaTheme="minorEastAsia"/>
          <w:i w:val="0"/>
        </w:rPr>
        <w:t xml:space="preserve"> is </w:t>
      </w:r>
      <w:r w:rsidR="001F66AB">
        <w:rPr>
          <w:rStyle w:val="Fogalom"/>
          <w:rFonts w:eastAsiaTheme="minorEastAsia"/>
          <w:i w:val="0"/>
        </w:rPr>
        <w:t>kettőt</w:t>
      </w:r>
      <w:r>
        <w:rPr>
          <w:rStyle w:val="Fogalom"/>
          <w:rFonts w:eastAsiaTheme="minorEastAsia"/>
          <w:i w:val="0"/>
        </w:rPr>
        <w:t xml:space="preserve"> fogunk definiálni</w:t>
      </w:r>
      <w:r w:rsidR="00FE0C0A">
        <w:rPr>
          <w:rStyle w:val="Fogalom"/>
          <w:rFonts w:eastAsiaTheme="minorEastAsia"/>
          <w:i w:val="0"/>
        </w:rPr>
        <w:t xml:space="preserve">. A </w:t>
      </w:r>
      <m:oMath>
        <m:r>
          <m:rPr>
            <m:sty m:val="p"/>
          </m:rPr>
          <w:rPr>
            <w:rStyle w:val="Fogalom"/>
            <w:rFonts w:ascii="Cambria Math" w:eastAsiaTheme="minorEastAsia" w:hAnsi="Cambria Math"/>
          </w:rPr>
          <m:t>μ</m:t>
        </m:r>
      </m:oMath>
      <w:r w:rsidR="00FE0C0A">
        <w:rPr>
          <w:rStyle w:val="Fogalom"/>
          <w:rFonts w:eastAsiaTheme="minorEastAsia"/>
          <w:i w:val="0"/>
        </w:rPr>
        <w:t xml:space="preserve"> makró bármilyen </w:t>
      </w:r>
      <m:oMath>
        <m:r>
          <m:rPr>
            <m:sty m:val="p"/>
          </m:rPr>
          <w:rPr>
            <w:rStyle w:val="Fogalom"/>
            <w:rFonts w:ascii="Cambria Math" w:eastAsiaTheme="minorEastAsia" w:hAnsi="Cambria Math"/>
          </w:rPr>
          <m:t>T</m:t>
        </m:r>
      </m:oMath>
      <w:r w:rsidR="00FE0C0A">
        <w:rPr>
          <w:rStyle w:val="Fogalom"/>
          <w:rFonts w:eastAsiaTheme="minorEastAsia"/>
          <w:i w:val="0"/>
        </w:rPr>
        <w:t xml:space="preserve"> szintaxisfából egy üres fát fog </w:t>
      </w:r>
      <w:r w:rsidR="002C0A2F">
        <w:rPr>
          <w:rStyle w:val="Fogalom"/>
          <w:rFonts w:eastAsiaTheme="minorEastAsia"/>
          <w:i w:val="0"/>
        </w:rPr>
        <w:t>visszaadni</w:t>
      </w:r>
      <w:r w:rsidR="00FE0C0A">
        <w:rPr>
          <w:rStyle w:val="Fogalom"/>
          <w:rFonts w:eastAsiaTheme="minorEastAsia"/>
          <w:i w:val="0"/>
        </w:rPr>
        <w:t xml:space="preserve">, míg a </w:t>
      </w:r>
      <m:oMath>
        <m:r>
          <m:rPr>
            <m:sty m:val="p"/>
          </m:rPr>
          <w:rPr>
            <w:rStyle w:val="Fogalom"/>
            <w:rFonts w:ascii="Cambria Math" w:eastAsiaTheme="minorEastAsia" w:hAnsi="Cambria Math"/>
          </w:rPr>
          <m:t>μ'</m:t>
        </m:r>
      </m:oMath>
      <w:r w:rsidR="0059418C">
        <w:rPr>
          <w:rStyle w:val="Fogalom"/>
          <w:rFonts w:eastAsiaTheme="minorEastAsia"/>
          <w:i w:val="0"/>
        </w:rPr>
        <w:t xml:space="preserve"> makró helyben hagyja azt:</w:t>
      </w:r>
    </w:p>
    <w:p w:rsidR="00C7155B" w:rsidRPr="005D5BDB" w:rsidRDefault="008E30F4" w:rsidP="00FE0C0A">
      <w:pPr>
        <w:rPr>
          <w:rStyle w:val="Fogalom"/>
          <w:rFonts w:eastAsiaTheme="minorEastAsia"/>
          <w:i w:val="0"/>
        </w:rPr>
      </w:pPr>
      <m:oMathPara>
        <m:oMath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μ</m:t>
          </m:r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≔ω</m:t>
          </m:r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μ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sSub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id</m:t>
              </m:r>
            </m:sub>
          </m:sSub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.</m:t>
          </m:r>
        </m:oMath>
      </m:oMathPara>
    </w:p>
    <w:p w:rsidR="005D5BDB" w:rsidRDefault="005D5BDB" w:rsidP="00FE0C0A">
      <w:pPr>
        <w:rPr>
          <w:rStyle w:val="Fogalom"/>
          <w:rFonts w:eastAsiaTheme="minorEastAsia"/>
          <w:i w:val="0"/>
        </w:rPr>
      </w:pPr>
      <w:r>
        <w:rPr>
          <w:rStyle w:val="Fogalom"/>
          <w:rFonts w:eastAsiaTheme="minorEastAsia"/>
          <w:i w:val="0"/>
        </w:rPr>
        <w:lastRenderedPageBreak/>
        <w:t xml:space="preserve">Szükségünk </w:t>
      </w:r>
      <w:r w:rsidR="004977B9">
        <w:rPr>
          <w:rStyle w:val="Fogalom"/>
          <w:rFonts w:eastAsiaTheme="minorEastAsia"/>
          <w:i w:val="0"/>
        </w:rPr>
        <w:t>lesz</w:t>
      </w:r>
      <w:r>
        <w:rPr>
          <w:rStyle w:val="Fogalom"/>
          <w:rFonts w:eastAsiaTheme="minorEastAsia"/>
          <w:i w:val="0"/>
        </w:rPr>
        <w:t xml:space="preserve"> még két transzformációs leképezésre is:</w:t>
      </w:r>
    </w:p>
    <w:p w:rsidR="003C61AA" w:rsidRPr="003C61AA" w:rsidRDefault="005D5BDB" w:rsidP="003C61AA">
      <w:pPr>
        <w:rPr>
          <w:rStyle w:val="Fogalom"/>
          <w:rFonts w:eastAsiaTheme="minorEastAsia"/>
          <w:i w:val="0"/>
          <w:iCs/>
        </w:rPr>
      </w:pPr>
      <m:oMathPara>
        <m:oMath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τ</m:t>
          </m:r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sSub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=T</m:t>
          </m:r>
        </m:oMath>
      </m:oMathPara>
    </w:p>
    <w:p w:rsidR="003C61AA" w:rsidRPr="003C61AA" w:rsidRDefault="003C61AA" w:rsidP="003C61AA">
      <w:pPr>
        <w:rPr>
          <w:rFonts w:eastAsiaTheme="minorEastAsia"/>
        </w:rPr>
      </w:pPr>
      <w:r>
        <w:rPr>
          <w:rStyle w:val="Fogalom"/>
          <w:rFonts w:eastAsiaTheme="minorEastAsia"/>
          <w:i w:val="0"/>
          <w:iCs/>
        </w:rPr>
        <w:t>[TODO]</w:t>
      </w:r>
    </w:p>
    <w:p w:rsidR="004B707A" w:rsidRDefault="004B707A" w:rsidP="00F17CA2">
      <w:pPr>
        <w:pStyle w:val="Heading2"/>
      </w:pPr>
      <w:r>
        <w:t>Szelekciós stratégiák</w:t>
      </w:r>
    </w:p>
    <w:p w:rsidR="001A0F54" w:rsidRPr="001A0F54" w:rsidRDefault="001A0F54" w:rsidP="001A0F54">
      <w:r>
        <w:t>[TODO]</w:t>
      </w:r>
    </w:p>
    <w:p w:rsidR="004B707A" w:rsidRDefault="004B707A" w:rsidP="004B707A">
      <w:pPr>
        <w:pStyle w:val="Heading2"/>
      </w:pPr>
      <w:r>
        <w:t>Implicit makrók végrehajtásának sorrendje</w:t>
      </w:r>
    </w:p>
    <w:p w:rsidR="004551B9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lemma kimondja, hogy a makrók végrehajtásának sorrendjének felcserélésével teljesen más szintaxisfát kaphatunk eredményül</w:t>
      </w:r>
      <w:r w:rsidR="004551B9">
        <w:t>, amely a programunk szemantikáját is megváltoztathatja.</w:t>
      </w:r>
      <w:r w:rsidR="00193FEC">
        <w:t xml:space="preserve"> Ezzel a metaprogramozási eszközzel egy nem-determinisztikus fordítást kaptunk, ami megnehezítheti a programozók munkáját. Fontos, hogy olyan stratégiákat és szabályokat definiáljunk, amik egyértelművé teszik a transzformáci</w:t>
      </w:r>
      <w:r w:rsidR="0010558B">
        <w:t xml:space="preserve">ók végrehajtásának sorrendjét. </w:t>
      </w:r>
      <w:r w:rsidR="001A0F54">
        <w:t>[TODO]</w:t>
      </w:r>
    </w:p>
    <w:p w:rsidR="00254F18" w:rsidRDefault="00254F18" w:rsidP="00254F18">
      <w:pPr>
        <w:pStyle w:val="Heading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t>Makrók által szimulálható programozási paradigmák</w:t>
      </w:r>
    </w:p>
    <w:p w:rsidR="00745695" w:rsidRDefault="00745695" w:rsidP="00745695">
      <w:pPr>
        <w:pStyle w:val="Heading3"/>
      </w:pPr>
      <w:r>
        <w:t>Design by Contract</w:t>
      </w:r>
    </w:p>
    <w:p w:rsidR="00745695" w:rsidRDefault="00745695" w:rsidP="00745695">
      <w:pPr>
        <w:pStyle w:val="Heading3"/>
      </w:pPr>
      <w:r>
        <w:t>Aspektus-orientált programozás</w:t>
      </w:r>
    </w:p>
    <w:p w:rsidR="00745695" w:rsidRPr="00745695" w:rsidRDefault="00745695" w:rsidP="00745695">
      <w:pPr>
        <w:pStyle w:val="Heading3"/>
      </w:pPr>
      <w:r>
        <w:t>Saját konstansok definiálása</w:t>
      </w:r>
    </w:p>
    <w:sectPr w:rsidR="00745695" w:rsidRPr="00745695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448" w:rsidRDefault="00D42448" w:rsidP="003C61AA">
      <w:pPr>
        <w:spacing w:after="0" w:line="240" w:lineRule="auto"/>
      </w:pPr>
      <w:r>
        <w:separator/>
      </w:r>
    </w:p>
  </w:endnote>
  <w:endnote w:type="continuationSeparator" w:id="0">
    <w:p w:rsidR="00D42448" w:rsidRDefault="00D42448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448" w:rsidRDefault="00D42448" w:rsidP="003C61AA">
      <w:pPr>
        <w:spacing w:after="0" w:line="240" w:lineRule="auto"/>
      </w:pPr>
      <w:r>
        <w:separator/>
      </w:r>
    </w:p>
  </w:footnote>
  <w:footnote w:type="continuationSeparator" w:id="0">
    <w:p w:rsidR="00D42448" w:rsidRDefault="00D42448" w:rsidP="003C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17D5"/>
    <w:rsid w:val="00015423"/>
    <w:rsid w:val="000165EF"/>
    <w:rsid w:val="000240EB"/>
    <w:rsid w:val="0003408D"/>
    <w:rsid w:val="00036E0F"/>
    <w:rsid w:val="00037AA6"/>
    <w:rsid w:val="00044B50"/>
    <w:rsid w:val="00046EEB"/>
    <w:rsid w:val="000600E9"/>
    <w:rsid w:val="000654F1"/>
    <w:rsid w:val="00067157"/>
    <w:rsid w:val="000711D8"/>
    <w:rsid w:val="00075D56"/>
    <w:rsid w:val="00082A5E"/>
    <w:rsid w:val="00084862"/>
    <w:rsid w:val="00084EAB"/>
    <w:rsid w:val="000864F9"/>
    <w:rsid w:val="000936EF"/>
    <w:rsid w:val="00095479"/>
    <w:rsid w:val="00096888"/>
    <w:rsid w:val="000A2143"/>
    <w:rsid w:val="000B5998"/>
    <w:rsid w:val="000B7992"/>
    <w:rsid w:val="000D5C3B"/>
    <w:rsid w:val="000E4F5B"/>
    <w:rsid w:val="000E5D90"/>
    <w:rsid w:val="000F5EE6"/>
    <w:rsid w:val="000F6852"/>
    <w:rsid w:val="00102FD5"/>
    <w:rsid w:val="0010558B"/>
    <w:rsid w:val="0011324E"/>
    <w:rsid w:val="001234F6"/>
    <w:rsid w:val="00123DDE"/>
    <w:rsid w:val="00124A57"/>
    <w:rsid w:val="001275F0"/>
    <w:rsid w:val="00136820"/>
    <w:rsid w:val="00147FE4"/>
    <w:rsid w:val="001526F1"/>
    <w:rsid w:val="001528D6"/>
    <w:rsid w:val="0015379E"/>
    <w:rsid w:val="00167E05"/>
    <w:rsid w:val="00175DDC"/>
    <w:rsid w:val="0018194C"/>
    <w:rsid w:val="00181B4F"/>
    <w:rsid w:val="001904CF"/>
    <w:rsid w:val="00193FEC"/>
    <w:rsid w:val="00197D61"/>
    <w:rsid w:val="001A0F54"/>
    <w:rsid w:val="001A34A4"/>
    <w:rsid w:val="001A3CCD"/>
    <w:rsid w:val="001A6CEC"/>
    <w:rsid w:val="001A7F63"/>
    <w:rsid w:val="001B37E8"/>
    <w:rsid w:val="001C363B"/>
    <w:rsid w:val="001C7764"/>
    <w:rsid w:val="001D274D"/>
    <w:rsid w:val="001D7D30"/>
    <w:rsid w:val="001E0530"/>
    <w:rsid w:val="001E58BD"/>
    <w:rsid w:val="001F08A6"/>
    <w:rsid w:val="001F438F"/>
    <w:rsid w:val="001F66AB"/>
    <w:rsid w:val="001F671A"/>
    <w:rsid w:val="00203869"/>
    <w:rsid w:val="00204EF8"/>
    <w:rsid w:val="00216B3F"/>
    <w:rsid w:val="002176F3"/>
    <w:rsid w:val="0022138E"/>
    <w:rsid w:val="00235D1B"/>
    <w:rsid w:val="0024063E"/>
    <w:rsid w:val="00245A65"/>
    <w:rsid w:val="00250B10"/>
    <w:rsid w:val="0025129F"/>
    <w:rsid w:val="002525BF"/>
    <w:rsid w:val="00254F18"/>
    <w:rsid w:val="00260190"/>
    <w:rsid w:val="0026226C"/>
    <w:rsid w:val="00275011"/>
    <w:rsid w:val="002755ED"/>
    <w:rsid w:val="002835CF"/>
    <w:rsid w:val="00284E07"/>
    <w:rsid w:val="00293D90"/>
    <w:rsid w:val="00295951"/>
    <w:rsid w:val="002A6154"/>
    <w:rsid w:val="002B20DA"/>
    <w:rsid w:val="002B2D1C"/>
    <w:rsid w:val="002C0A2F"/>
    <w:rsid w:val="002C280C"/>
    <w:rsid w:val="002C5DE1"/>
    <w:rsid w:val="002C602A"/>
    <w:rsid w:val="002C6E58"/>
    <w:rsid w:val="002D62AA"/>
    <w:rsid w:val="002E2B8E"/>
    <w:rsid w:val="002E6F1F"/>
    <w:rsid w:val="002E7D20"/>
    <w:rsid w:val="002E7FD7"/>
    <w:rsid w:val="002F6034"/>
    <w:rsid w:val="0030387B"/>
    <w:rsid w:val="00303B38"/>
    <w:rsid w:val="00317778"/>
    <w:rsid w:val="003234F3"/>
    <w:rsid w:val="003236F8"/>
    <w:rsid w:val="003257CE"/>
    <w:rsid w:val="003263C0"/>
    <w:rsid w:val="003310F9"/>
    <w:rsid w:val="0033168D"/>
    <w:rsid w:val="00332FB5"/>
    <w:rsid w:val="003365EA"/>
    <w:rsid w:val="00362A81"/>
    <w:rsid w:val="00365B4E"/>
    <w:rsid w:val="00382E2A"/>
    <w:rsid w:val="0039327C"/>
    <w:rsid w:val="00394561"/>
    <w:rsid w:val="00396310"/>
    <w:rsid w:val="003A09E6"/>
    <w:rsid w:val="003A0DAC"/>
    <w:rsid w:val="003A4012"/>
    <w:rsid w:val="003B6F86"/>
    <w:rsid w:val="003C411A"/>
    <w:rsid w:val="003C61AA"/>
    <w:rsid w:val="003D7481"/>
    <w:rsid w:val="003E27C2"/>
    <w:rsid w:val="003E44B7"/>
    <w:rsid w:val="003F4801"/>
    <w:rsid w:val="003F565F"/>
    <w:rsid w:val="003F7F56"/>
    <w:rsid w:val="00400773"/>
    <w:rsid w:val="00400C2D"/>
    <w:rsid w:val="00400D28"/>
    <w:rsid w:val="00401E43"/>
    <w:rsid w:val="00410CA6"/>
    <w:rsid w:val="0041218A"/>
    <w:rsid w:val="00426B01"/>
    <w:rsid w:val="004468AF"/>
    <w:rsid w:val="00451BAE"/>
    <w:rsid w:val="00453994"/>
    <w:rsid w:val="004551B9"/>
    <w:rsid w:val="00462638"/>
    <w:rsid w:val="00484FA6"/>
    <w:rsid w:val="00487EE3"/>
    <w:rsid w:val="004924B2"/>
    <w:rsid w:val="00495738"/>
    <w:rsid w:val="00497658"/>
    <w:rsid w:val="004977B9"/>
    <w:rsid w:val="004A14F8"/>
    <w:rsid w:val="004A246E"/>
    <w:rsid w:val="004A24AF"/>
    <w:rsid w:val="004A2D84"/>
    <w:rsid w:val="004A63A3"/>
    <w:rsid w:val="004B313B"/>
    <w:rsid w:val="004B46EB"/>
    <w:rsid w:val="004B707A"/>
    <w:rsid w:val="004D5420"/>
    <w:rsid w:val="004D75C2"/>
    <w:rsid w:val="004E28AD"/>
    <w:rsid w:val="004E2D7A"/>
    <w:rsid w:val="004F37BF"/>
    <w:rsid w:val="004F3DCB"/>
    <w:rsid w:val="00506844"/>
    <w:rsid w:val="005105E0"/>
    <w:rsid w:val="005179EC"/>
    <w:rsid w:val="00517BC8"/>
    <w:rsid w:val="0053280E"/>
    <w:rsid w:val="00536412"/>
    <w:rsid w:val="00543E8D"/>
    <w:rsid w:val="00552F88"/>
    <w:rsid w:val="005548B0"/>
    <w:rsid w:val="005608B1"/>
    <w:rsid w:val="00563234"/>
    <w:rsid w:val="00564D5C"/>
    <w:rsid w:val="0057152B"/>
    <w:rsid w:val="005826DD"/>
    <w:rsid w:val="005842FE"/>
    <w:rsid w:val="005849EA"/>
    <w:rsid w:val="0058523D"/>
    <w:rsid w:val="00592253"/>
    <w:rsid w:val="0059418C"/>
    <w:rsid w:val="00595893"/>
    <w:rsid w:val="005A0B4B"/>
    <w:rsid w:val="005A3F60"/>
    <w:rsid w:val="005A62B1"/>
    <w:rsid w:val="005A75A4"/>
    <w:rsid w:val="005B3038"/>
    <w:rsid w:val="005B503F"/>
    <w:rsid w:val="005D5BDB"/>
    <w:rsid w:val="005D5CC7"/>
    <w:rsid w:val="005D5E41"/>
    <w:rsid w:val="005D6441"/>
    <w:rsid w:val="005E688D"/>
    <w:rsid w:val="005F2730"/>
    <w:rsid w:val="005F442B"/>
    <w:rsid w:val="005F45DD"/>
    <w:rsid w:val="00614CA8"/>
    <w:rsid w:val="0061533C"/>
    <w:rsid w:val="00616694"/>
    <w:rsid w:val="0062662D"/>
    <w:rsid w:val="00633952"/>
    <w:rsid w:val="00636996"/>
    <w:rsid w:val="006409C7"/>
    <w:rsid w:val="00640A00"/>
    <w:rsid w:val="00640AF0"/>
    <w:rsid w:val="00642D65"/>
    <w:rsid w:val="00647CE4"/>
    <w:rsid w:val="00651A75"/>
    <w:rsid w:val="006552A4"/>
    <w:rsid w:val="00674DD6"/>
    <w:rsid w:val="00682604"/>
    <w:rsid w:val="00690EE2"/>
    <w:rsid w:val="0069460E"/>
    <w:rsid w:val="006A29D2"/>
    <w:rsid w:val="006B6D16"/>
    <w:rsid w:val="006C16E7"/>
    <w:rsid w:val="006C3486"/>
    <w:rsid w:val="006C351E"/>
    <w:rsid w:val="006D5CE2"/>
    <w:rsid w:val="006D7BEF"/>
    <w:rsid w:val="006E4387"/>
    <w:rsid w:val="006F163B"/>
    <w:rsid w:val="0070540E"/>
    <w:rsid w:val="007104A1"/>
    <w:rsid w:val="00712C6F"/>
    <w:rsid w:val="00713193"/>
    <w:rsid w:val="00717422"/>
    <w:rsid w:val="007179D4"/>
    <w:rsid w:val="007225CD"/>
    <w:rsid w:val="007240C6"/>
    <w:rsid w:val="007303DD"/>
    <w:rsid w:val="00731B12"/>
    <w:rsid w:val="007419C9"/>
    <w:rsid w:val="00745695"/>
    <w:rsid w:val="007457B2"/>
    <w:rsid w:val="00752C6A"/>
    <w:rsid w:val="007647E5"/>
    <w:rsid w:val="007670F3"/>
    <w:rsid w:val="00775823"/>
    <w:rsid w:val="0077634E"/>
    <w:rsid w:val="007800EC"/>
    <w:rsid w:val="00783961"/>
    <w:rsid w:val="00784C4D"/>
    <w:rsid w:val="007A756A"/>
    <w:rsid w:val="007B5FC6"/>
    <w:rsid w:val="007B67A0"/>
    <w:rsid w:val="007B707D"/>
    <w:rsid w:val="007B72DA"/>
    <w:rsid w:val="007C49F2"/>
    <w:rsid w:val="007C7588"/>
    <w:rsid w:val="007D0B61"/>
    <w:rsid w:val="007D37AC"/>
    <w:rsid w:val="007F6254"/>
    <w:rsid w:val="00803B39"/>
    <w:rsid w:val="0080501F"/>
    <w:rsid w:val="00807041"/>
    <w:rsid w:val="00807165"/>
    <w:rsid w:val="008108DF"/>
    <w:rsid w:val="00812B52"/>
    <w:rsid w:val="008162F5"/>
    <w:rsid w:val="00817E44"/>
    <w:rsid w:val="00824BB8"/>
    <w:rsid w:val="008521B8"/>
    <w:rsid w:val="008540EA"/>
    <w:rsid w:val="00856A3C"/>
    <w:rsid w:val="00857965"/>
    <w:rsid w:val="00860670"/>
    <w:rsid w:val="008649E7"/>
    <w:rsid w:val="00867DE8"/>
    <w:rsid w:val="00873975"/>
    <w:rsid w:val="00890FB0"/>
    <w:rsid w:val="008B090A"/>
    <w:rsid w:val="008C0B5F"/>
    <w:rsid w:val="008D4713"/>
    <w:rsid w:val="008D481C"/>
    <w:rsid w:val="008D4D26"/>
    <w:rsid w:val="008E30F4"/>
    <w:rsid w:val="0090450D"/>
    <w:rsid w:val="009102C4"/>
    <w:rsid w:val="00911522"/>
    <w:rsid w:val="009201B8"/>
    <w:rsid w:val="0092501E"/>
    <w:rsid w:val="00933586"/>
    <w:rsid w:val="00942453"/>
    <w:rsid w:val="009434BE"/>
    <w:rsid w:val="00950762"/>
    <w:rsid w:val="0095151D"/>
    <w:rsid w:val="00952026"/>
    <w:rsid w:val="009614AF"/>
    <w:rsid w:val="009668E2"/>
    <w:rsid w:val="00983970"/>
    <w:rsid w:val="0098647B"/>
    <w:rsid w:val="00990991"/>
    <w:rsid w:val="009949A7"/>
    <w:rsid w:val="009B44E8"/>
    <w:rsid w:val="009C67E3"/>
    <w:rsid w:val="009D30F4"/>
    <w:rsid w:val="009D55CE"/>
    <w:rsid w:val="009F47D2"/>
    <w:rsid w:val="00A02A85"/>
    <w:rsid w:val="00A151BA"/>
    <w:rsid w:val="00A20926"/>
    <w:rsid w:val="00A23408"/>
    <w:rsid w:val="00A26FBE"/>
    <w:rsid w:val="00A27158"/>
    <w:rsid w:val="00A34D5A"/>
    <w:rsid w:val="00A42BF7"/>
    <w:rsid w:val="00A52365"/>
    <w:rsid w:val="00A52D92"/>
    <w:rsid w:val="00A555AA"/>
    <w:rsid w:val="00A56092"/>
    <w:rsid w:val="00A56C84"/>
    <w:rsid w:val="00A56DED"/>
    <w:rsid w:val="00A621A8"/>
    <w:rsid w:val="00A717E3"/>
    <w:rsid w:val="00A7401E"/>
    <w:rsid w:val="00A8334E"/>
    <w:rsid w:val="00A91E8C"/>
    <w:rsid w:val="00A9208E"/>
    <w:rsid w:val="00A92292"/>
    <w:rsid w:val="00A9264D"/>
    <w:rsid w:val="00A965FE"/>
    <w:rsid w:val="00AA285C"/>
    <w:rsid w:val="00AA3DF5"/>
    <w:rsid w:val="00AC3B33"/>
    <w:rsid w:val="00AD1AC7"/>
    <w:rsid w:val="00AD62A4"/>
    <w:rsid w:val="00AD75CE"/>
    <w:rsid w:val="00AE1989"/>
    <w:rsid w:val="00AE4458"/>
    <w:rsid w:val="00B024F8"/>
    <w:rsid w:val="00B06D12"/>
    <w:rsid w:val="00B06DAB"/>
    <w:rsid w:val="00B203DF"/>
    <w:rsid w:val="00B222E2"/>
    <w:rsid w:val="00B22D5C"/>
    <w:rsid w:val="00B23C70"/>
    <w:rsid w:val="00B31116"/>
    <w:rsid w:val="00B37ED5"/>
    <w:rsid w:val="00B404F4"/>
    <w:rsid w:val="00B454F6"/>
    <w:rsid w:val="00B47B73"/>
    <w:rsid w:val="00B514F1"/>
    <w:rsid w:val="00B7522C"/>
    <w:rsid w:val="00B75479"/>
    <w:rsid w:val="00B81AB2"/>
    <w:rsid w:val="00B826BF"/>
    <w:rsid w:val="00B86D32"/>
    <w:rsid w:val="00B90298"/>
    <w:rsid w:val="00B92060"/>
    <w:rsid w:val="00B9496C"/>
    <w:rsid w:val="00B95447"/>
    <w:rsid w:val="00BA6794"/>
    <w:rsid w:val="00BA6D38"/>
    <w:rsid w:val="00BA7603"/>
    <w:rsid w:val="00BB6391"/>
    <w:rsid w:val="00BC4B0E"/>
    <w:rsid w:val="00BC56FC"/>
    <w:rsid w:val="00BD0160"/>
    <w:rsid w:val="00BD22EE"/>
    <w:rsid w:val="00BD62E0"/>
    <w:rsid w:val="00BD7113"/>
    <w:rsid w:val="00BE3E4A"/>
    <w:rsid w:val="00BF0494"/>
    <w:rsid w:val="00C02607"/>
    <w:rsid w:val="00C03BD5"/>
    <w:rsid w:val="00C07BF6"/>
    <w:rsid w:val="00C172FC"/>
    <w:rsid w:val="00C262CA"/>
    <w:rsid w:val="00C313E4"/>
    <w:rsid w:val="00C31EF8"/>
    <w:rsid w:val="00C365C9"/>
    <w:rsid w:val="00C42F94"/>
    <w:rsid w:val="00C47057"/>
    <w:rsid w:val="00C63219"/>
    <w:rsid w:val="00C66364"/>
    <w:rsid w:val="00C7155B"/>
    <w:rsid w:val="00C90AAC"/>
    <w:rsid w:val="00C93DB7"/>
    <w:rsid w:val="00CA144D"/>
    <w:rsid w:val="00CA1FF9"/>
    <w:rsid w:val="00CB3F6E"/>
    <w:rsid w:val="00CB5BC5"/>
    <w:rsid w:val="00CB5CF5"/>
    <w:rsid w:val="00CD65E7"/>
    <w:rsid w:val="00CE2B4E"/>
    <w:rsid w:val="00CE607D"/>
    <w:rsid w:val="00CE7D15"/>
    <w:rsid w:val="00D11050"/>
    <w:rsid w:val="00D12EC8"/>
    <w:rsid w:val="00D165BC"/>
    <w:rsid w:val="00D33D65"/>
    <w:rsid w:val="00D344DA"/>
    <w:rsid w:val="00D362FE"/>
    <w:rsid w:val="00D40610"/>
    <w:rsid w:val="00D42448"/>
    <w:rsid w:val="00D56EFC"/>
    <w:rsid w:val="00D572C9"/>
    <w:rsid w:val="00D60075"/>
    <w:rsid w:val="00D601DF"/>
    <w:rsid w:val="00D60B0B"/>
    <w:rsid w:val="00D6412A"/>
    <w:rsid w:val="00D73EE8"/>
    <w:rsid w:val="00D74DF9"/>
    <w:rsid w:val="00D75DB1"/>
    <w:rsid w:val="00D807A0"/>
    <w:rsid w:val="00D815FC"/>
    <w:rsid w:val="00D83CD1"/>
    <w:rsid w:val="00D85167"/>
    <w:rsid w:val="00D9003C"/>
    <w:rsid w:val="00DA34BE"/>
    <w:rsid w:val="00DA5DE9"/>
    <w:rsid w:val="00DB057A"/>
    <w:rsid w:val="00DB6C1E"/>
    <w:rsid w:val="00DC136B"/>
    <w:rsid w:val="00DC1F7F"/>
    <w:rsid w:val="00DD489C"/>
    <w:rsid w:val="00DE2110"/>
    <w:rsid w:val="00DE5C8E"/>
    <w:rsid w:val="00DF02AA"/>
    <w:rsid w:val="00DF4D1B"/>
    <w:rsid w:val="00DF519E"/>
    <w:rsid w:val="00E00A91"/>
    <w:rsid w:val="00E050E5"/>
    <w:rsid w:val="00E10EE2"/>
    <w:rsid w:val="00E12325"/>
    <w:rsid w:val="00E13C43"/>
    <w:rsid w:val="00E23446"/>
    <w:rsid w:val="00E46473"/>
    <w:rsid w:val="00E472EB"/>
    <w:rsid w:val="00E52B93"/>
    <w:rsid w:val="00E54ED1"/>
    <w:rsid w:val="00E55509"/>
    <w:rsid w:val="00E64738"/>
    <w:rsid w:val="00E66C84"/>
    <w:rsid w:val="00E76E11"/>
    <w:rsid w:val="00E807DC"/>
    <w:rsid w:val="00E82DCE"/>
    <w:rsid w:val="00E83550"/>
    <w:rsid w:val="00E862F1"/>
    <w:rsid w:val="00EA0271"/>
    <w:rsid w:val="00EA57F3"/>
    <w:rsid w:val="00EA61ED"/>
    <w:rsid w:val="00EB0429"/>
    <w:rsid w:val="00EC3A18"/>
    <w:rsid w:val="00ED5E30"/>
    <w:rsid w:val="00EE7904"/>
    <w:rsid w:val="00EF22FB"/>
    <w:rsid w:val="00F11229"/>
    <w:rsid w:val="00F14D49"/>
    <w:rsid w:val="00F15059"/>
    <w:rsid w:val="00F1625A"/>
    <w:rsid w:val="00F164F8"/>
    <w:rsid w:val="00F16BAF"/>
    <w:rsid w:val="00F1782B"/>
    <w:rsid w:val="00F17CA2"/>
    <w:rsid w:val="00F2088D"/>
    <w:rsid w:val="00F2419B"/>
    <w:rsid w:val="00F258C0"/>
    <w:rsid w:val="00F349F0"/>
    <w:rsid w:val="00F4479D"/>
    <w:rsid w:val="00F607C7"/>
    <w:rsid w:val="00F6238F"/>
    <w:rsid w:val="00F71F0C"/>
    <w:rsid w:val="00F7396B"/>
    <w:rsid w:val="00F87896"/>
    <w:rsid w:val="00F9697C"/>
    <w:rsid w:val="00FA4F56"/>
    <w:rsid w:val="00FA616F"/>
    <w:rsid w:val="00FA6F88"/>
    <w:rsid w:val="00FB6109"/>
    <w:rsid w:val="00FD0057"/>
    <w:rsid w:val="00FE0C0A"/>
    <w:rsid w:val="00FE0F4E"/>
    <w:rsid w:val="00FE6D74"/>
    <w:rsid w:val="00FF2AB9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E492C-0FAB-417A-97C7-32106B11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oList"/>
    <w:uiPriority w:val="99"/>
    <w:rsid w:val="00563234"/>
    <w:pPr>
      <w:numPr>
        <w:numId w:val="4"/>
      </w:numPr>
    </w:pPr>
  </w:style>
  <w:style w:type="paragraph" w:styleId="ListParagraph">
    <w:name w:val="List Paragraph"/>
    <w:basedOn w:val="Normal"/>
    <w:uiPriority w:val="34"/>
    <w:rsid w:val="00563234"/>
    <w:pPr>
      <w:ind w:left="720"/>
      <w:contextualSpacing/>
    </w:pPr>
  </w:style>
  <w:style w:type="paragraph" w:styleId="NoSpacing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al"/>
    <w:next w:val="Norma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DefaultParagraphFont"/>
    <w:link w:val="Kdrszlet"/>
    <w:rsid w:val="007240C6"/>
    <w:rPr>
      <w:rFonts w:ascii="Courier New" w:hAnsi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DefaultParagraphFont"/>
    <w:uiPriority w:val="1"/>
    <w:qFormat/>
    <w:rsid w:val="00717422"/>
    <w:rPr>
      <w:i/>
    </w:rPr>
  </w:style>
  <w:style w:type="character" w:styleId="PlaceholderText">
    <w:name w:val="Placeholder Text"/>
    <w:basedOn w:val="DefaultParagraphFont"/>
    <w:uiPriority w:val="99"/>
    <w:semiHidden/>
    <w:rsid w:val="00C31EF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al"/>
    <w:link w:val="braChar"/>
    <w:qFormat/>
    <w:rsid w:val="0039327C"/>
    <w:pPr>
      <w:keepNext/>
      <w:spacing w:before="400"/>
      <w:ind w:firstLine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DefaultParagraphFont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1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037B3-9D54-401D-92FE-24DC43E6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14</Pages>
  <Words>2407</Words>
  <Characters>16616</Characters>
  <Application>Microsoft Office Word</Application>
  <DocSecurity>0</DocSecurity>
  <Lines>138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Tamas Szabo</cp:lastModifiedBy>
  <cp:revision>19</cp:revision>
  <dcterms:created xsi:type="dcterms:W3CDTF">2014-03-08T22:42:00Z</dcterms:created>
  <dcterms:modified xsi:type="dcterms:W3CDTF">2014-04-01T21:04:00Z</dcterms:modified>
</cp:coreProperties>
</file>