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Heading1"/>
      </w:pPr>
      <w:r>
        <w:t>Metaprogramozásról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Heading1"/>
      </w:pPr>
      <w:r>
        <w:lastRenderedPageBreak/>
        <w:t>Metaprogramozás a mai programozási nyelvekben</w:t>
      </w:r>
    </w:p>
    <w:p w:rsidR="002525BF" w:rsidRPr="00563234" w:rsidRDefault="00DB6C1E" w:rsidP="00A02A85">
      <w:pPr>
        <w:pStyle w:val="Heading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Heading3"/>
      </w:pPr>
      <w:r>
        <w:t>Az include direktíva</w:t>
      </w:r>
    </w:p>
    <w:p w:rsidR="009B44E8" w:rsidRDefault="001B37E8" w:rsidP="00A02A85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Default="007240C6" w:rsidP="00A02A85">
      <w:pPr>
        <w:pStyle w:val="Kdrszlet"/>
      </w:pPr>
      <w:r>
        <w:t>// megkeresi az iostream fájlt és annak a tartalmát bemásolja</w:t>
      </w:r>
      <w:r>
        <w:br/>
      </w:r>
      <w:r w:rsidR="005D6441">
        <w:t xml:space="preserve">#include &lt;iostream&gt; </w:t>
      </w:r>
      <w:r>
        <w:br/>
      </w:r>
      <w:r w:rsidR="005D6441">
        <w:t>int main() {</w:t>
      </w:r>
      <w:r>
        <w:br/>
      </w:r>
      <w:r w:rsidR="005D6441">
        <w:tab/>
        <w:t>std::cout &lt;&lt; "Hello World!" &lt;&lt; std::endl;</w:t>
      </w:r>
      <w:r>
        <w:br/>
      </w:r>
      <w:r w:rsidR="005D6441">
        <w:tab/>
        <w:t>return 0;</w:t>
      </w:r>
      <w:r>
        <w:br/>
      </w:r>
      <w:r w:rsidR="005D6441">
        <w:t>}</w:t>
      </w:r>
    </w:p>
    <w:p w:rsidR="00F164F8" w:rsidRDefault="00F14D49" w:rsidP="00A02A85">
      <w:r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</w:t>
      </w:r>
      <w:r w:rsidR="001C363B">
        <w:lastRenderedPageBreak/>
        <w:t>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Default="00F2419B" w:rsidP="00A02A85">
      <w:pPr>
        <w:pStyle w:val="Kdrszlet"/>
      </w:pPr>
      <w:r>
        <w:t>#include &lt;iostream&gt;</w:t>
      </w:r>
      <w:r w:rsidR="00CE2B4E">
        <w:br/>
        <w:t xml:space="preserve">// </w:t>
      </w:r>
      <w:r>
        <w:t xml:space="preserve">megnézi a fordító, hogy definiálták-e már az adott </w:t>
      </w:r>
      <w:r w:rsidR="00CE2B4E">
        <w:t>s</w:t>
      </w:r>
      <w:r>
        <w:t>zimbólumat</w:t>
      </w:r>
      <w:r w:rsidR="00CE2B4E">
        <w:br/>
      </w:r>
      <w:r>
        <w:t xml:space="preserve">#ifndef PERSON_H   </w:t>
      </w:r>
      <w:r w:rsidR="00CE2B4E">
        <w:br/>
      </w:r>
      <w:r w:rsidR="00084862">
        <w:t>// ha nem, akkor megtesszük</w:t>
      </w:r>
      <w:r w:rsidR="00CE2B4E">
        <w:br/>
      </w:r>
      <w:r>
        <w:t>#define PERSON_H</w:t>
      </w:r>
      <w:r w:rsidR="00CE2B4E">
        <w:br/>
      </w:r>
      <w:r w:rsidR="00084862">
        <w:t>// és visszaadjuk a valódi tartalmat</w:t>
      </w:r>
      <w:r w:rsidR="00CE2B4E">
        <w:br/>
      </w:r>
      <w:r w:rsidRPr="0015379E">
        <w:t>struct</w:t>
      </w:r>
      <w:r>
        <w:t xml:space="preserve"> Person {</w:t>
      </w:r>
      <w:r w:rsidR="00CE2B4E">
        <w:br/>
      </w:r>
      <w:r>
        <w:tab/>
        <w:t>std::string Name;</w:t>
      </w:r>
      <w:r w:rsidR="00CE2B4E">
        <w:br/>
      </w:r>
      <w:r>
        <w:tab/>
        <w:t>int Age;</w:t>
      </w:r>
      <w:r w:rsidR="00CE2B4E">
        <w:br/>
      </w:r>
      <w:r>
        <w:t>};</w:t>
      </w:r>
      <w:r w:rsidR="00CE2B4E">
        <w:br/>
      </w:r>
      <w:r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8D481C">
        <w:rPr>
          <w:rStyle w:val="KdrszletChar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Default="00E52B93" w:rsidP="00A02A85">
      <w:pPr>
        <w:pStyle w:val="Kdrszlet"/>
      </w:pPr>
      <w:r>
        <w:t>#pragma once</w:t>
      </w:r>
      <w:r w:rsidR="00CE2B4E">
        <w:br/>
      </w:r>
      <w:r>
        <w:t>struct Person {</w:t>
      </w:r>
      <w:r w:rsidR="00CE2B4E">
        <w:br/>
      </w:r>
      <w:r>
        <w:tab/>
        <w:t>std::string Name;</w:t>
      </w:r>
      <w:r w:rsidR="00CE2B4E">
        <w:br/>
      </w:r>
      <w:r>
        <w:tab/>
        <w:t>int Age;</w:t>
      </w:r>
      <w:r w:rsidR="00CE2B4E">
        <w:br/>
      </w:r>
      <w:r>
        <w:t>};</w:t>
      </w:r>
    </w:p>
    <w:p w:rsidR="004F3DCB" w:rsidRDefault="003310F9" w:rsidP="00A02A85">
      <w:pPr>
        <w:pStyle w:val="Heading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</w:t>
      </w:r>
      <w:r w:rsidR="007800EC">
        <w:lastRenderedPageBreak/>
        <w:t xml:space="preserve">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Heading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8B090A" w:rsidRDefault="008B090A" w:rsidP="00A02A85">
      <w:pPr>
        <w:pStyle w:val="Heading2"/>
      </w:pPr>
      <w:r>
        <w:t>Metaprogramozás Ruby nyelven</w:t>
      </w:r>
    </w:p>
    <w:p w:rsidR="004A63A3" w:rsidRPr="004A63A3" w:rsidRDefault="004A63A3" w:rsidP="004A63A3">
      <w:r>
        <w:t>[TODO]</w:t>
      </w:r>
    </w:p>
    <w:p w:rsidR="008B090A" w:rsidRDefault="008B090A" w:rsidP="00A02A85">
      <w:pPr>
        <w:pStyle w:val="Heading2"/>
      </w:pPr>
      <w:r>
        <w:t>Metaprogramozás Scala nyelven</w:t>
      </w:r>
    </w:p>
    <w:p w:rsidR="004A63A3" w:rsidRPr="004A63A3" w:rsidRDefault="004A63A3" w:rsidP="004A63A3">
      <w:r>
        <w:t>[TODO]</w:t>
      </w:r>
    </w:p>
    <w:p w:rsidR="00DC1F7F" w:rsidRDefault="00DC1F7F" w:rsidP="00DC1F7F">
      <w:pPr>
        <w:pStyle w:val="Heading2"/>
      </w:pPr>
      <w:r>
        <w:t>Metaprogramozás a .NET Framework-ben</w:t>
      </w:r>
    </w:p>
    <w:p w:rsidR="004A63A3" w:rsidRPr="004A63A3" w:rsidRDefault="004A63A3" w:rsidP="004A63A3">
      <w:r>
        <w:t>[TODO]</w:t>
      </w:r>
    </w:p>
    <w:p w:rsidR="00181B4F" w:rsidRDefault="00181B4F" w:rsidP="00181B4F">
      <w:pPr>
        <w:pStyle w:val="Heading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Heading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Heading2"/>
      </w:pPr>
      <w:bookmarkStart w:id="0" w:name="_Ref383813744"/>
      <w:r>
        <w:t>A fordítóprogramokról általában</w:t>
      </w:r>
      <w:bookmarkEnd w:id="0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Heading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Heading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Heading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Heading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60075" w:rsidRDefault="00D83CD1" w:rsidP="00D60075">
      <w:pPr>
        <w:rPr>
          <w:rStyle w:val="Fogalom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φ</m:t>
        </m:r>
      </m:oMath>
      <w:r w:rsidR="00124A57">
        <w:rPr>
          <w:rFonts w:eastAsiaTheme="minorEastAsia"/>
        </w:rPr>
        <w:t xml:space="preserve">. </w:t>
      </w:r>
    </w:p>
    <w:p w:rsidR="00FB6109" w:rsidRDefault="00FB6109" w:rsidP="00D60075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| E\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Heading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A23408" w:rsidRDefault="00A23408" w:rsidP="00A23408">
      <w:pPr>
        <w:pStyle w:val="Heading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</m:t>
          </m:r>
          <m:r>
            <w:rPr>
              <w:rFonts w:ascii="Cambria Math" w:eastAsiaTheme="minorEastAsia" w:hAnsi="Cambria Math"/>
            </w:rPr>
            <m:t>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7902753" r:id="rId10"/>
        </w:object>
      </w:r>
    </w:p>
    <w:bookmarkStart w:id="1" w:name="_Ref383873295"/>
    <w:p w:rsidR="00197D61" w:rsidRPr="006552A4" w:rsidRDefault="006552A4" w:rsidP="006552A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1"/>
    </w:p>
    <w:p w:rsidR="00552F88" w:rsidRDefault="00552F88" w:rsidP="007179D4">
      <w:pPr>
        <w:pStyle w:val="Heading3"/>
      </w:pPr>
      <w:r>
        <w:lastRenderedPageBreak/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7902754" r:id="rId12"/>
        </w:object>
      </w:r>
    </w:p>
    <w:bookmarkStart w:id="2" w:name="_Ref383873995"/>
    <w:p w:rsidR="00303B38" w:rsidRDefault="00303B38" w:rsidP="00303B38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2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7902755" r:id="rId14"/>
        </w:object>
      </w:r>
    </w:p>
    <w:bookmarkStart w:id="3" w:name="_Ref383874005"/>
    <w:p w:rsidR="00303B38" w:rsidRPr="006D7BEF" w:rsidRDefault="005531FB" w:rsidP="00303B38">
      <w:pPr>
        <w:pStyle w:val="Caption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3"/>
    </w:p>
    <w:p w:rsidR="00B222E2" w:rsidRDefault="00B222E2" w:rsidP="00B222E2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Szintaxisfa transzformációjának definíciója</w:t>
      </w:r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3F4801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Heading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3F4801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Heading3"/>
        <w:rPr>
          <w:rFonts w:eastAsiaTheme="minorEastAsia"/>
        </w:rPr>
      </w:pPr>
      <w:bookmarkStart w:id="4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4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3F4801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7902756" r:id="rId16"/>
        </w:object>
      </w:r>
    </w:p>
    <w:bookmarkStart w:id="5" w:name="_Ref384159542"/>
    <w:p w:rsidR="00086239" w:rsidRDefault="00B21F02" w:rsidP="00B21F02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5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7902757" r:id="rId18"/>
        </w:object>
      </w:r>
    </w:p>
    <w:p w:rsidR="00B21F02" w:rsidRDefault="006118F7" w:rsidP="00B21F02">
      <w:pPr>
        <w:pStyle w:val="Caption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  <m:r>
          <w:rPr>
            <w:rFonts w:ascii="Cambria Math" w:eastAsiaTheme="minorEastAsia" w:hAnsi="Cambria Math"/>
          </w:rPr>
          <w:tab/>
        </m:r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7B5FC6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</m:t>
        </m:r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80501F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394561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AA1959" w:rsidRDefault="00AA1959" w:rsidP="005C343D">
      <w:pPr>
        <w:pStyle w:val="Heading2"/>
      </w:pPr>
      <w:r>
        <w:t>Chomsky-féle környezetfüggetlen nyelvtan összekapcsolása a metaprogramozás modelljével</w:t>
      </w:r>
    </w:p>
    <w:p w:rsidR="00AD25B2" w:rsidRDefault="00AD25B2" w:rsidP="00AD25B2">
      <w:pPr>
        <w:pStyle w:val="Heading3"/>
      </w:pPr>
      <w:r>
        <w:t>Környezetfüggetlen nyelvtan definíciója</w:t>
      </w:r>
    </w:p>
    <w:p w:rsidR="00AD25B2" w:rsidRPr="00AD25B2" w:rsidRDefault="00AD25B2" w:rsidP="00AD25B2">
      <w:pPr>
        <w:pStyle w:val="Heading3"/>
      </w:pPr>
      <w:r>
        <w:t>Környezetfüggetlen nyelvtan leképez</w:t>
      </w:r>
      <w:r w:rsidR="00DE46B4">
        <w:t>ése szintaxisfává</w:t>
      </w:r>
      <w:bookmarkStart w:id="6" w:name="_GoBack"/>
      <w:bookmarkEnd w:id="6"/>
    </w:p>
    <w:p w:rsidR="00AA1959" w:rsidRPr="00AA1959" w:rsidRDefault="00DE46B4" w:rsidP="00AD25B2">
      <w:pPr>
        <w:pStyle w:val="Heading3"/>
      </w:pPr>
      <w:r>
        <w:t>Környezetfüggetlen</w:t>
      </w:r>
      <w:r w:rsidR="00AD25B2">
        <w:t xml:space="preserve"> nyelvtan konverziójának definíciója</w:t>
      </w:r>
    </w:p>
    <w:p w:rsidR="004B707A" w:rsidRDefault="004B707A" w:rsidP="005C343D">
      <w:pPr>
        <w:pStyle w:val="Heading2"/>
      </w:pPr>
      <w:r>
        <w:t>Szelekciós stratégiák</w:t>
      </w:r>
    </w:p>
    <w:p w:rsidR="001A0F54" w:rsidRPr="001A0F54" w:rsidRDefault="001A0F54" w:rsidP="001A0F54">
      <w:r>
        <w:t>[TODO]</w:t>
      </w:r>
    </w:p>
    <w:p w:rsidR="004B707A" w:rsidRDefault="004B707A" w:rsidP="004B707A">
      <w:pPr>
        <w:pStyle w:val="Heading2"/>
      </w:pPr>
      <w:r>
        <w:lastRenderedPageBreak/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Heading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t>Makrók által szimulálható programozási paradigmák</w:t>
      </w:r>
    </w:p>
    <w:p w:rsidR="00745695" w:rsidRDefault="00745695" w:rsidP="00745695">
      <w:pPr>
        <w:pStyle w:val="Heading3"/>
      </w:pPr>
      <w:r>
        <w:t>Design by Contract</w:t>
      </w:r>
    </w:p>
    <w:p w:rsidR="00745695" w:rsidRDefault="00745695" w:rsidP="00745695">
      <w:pPr>
        <w:pStyle w:val="Heading3"/>
      </w:pPr>
      <w:r>
        <w:t>Aspektus-orientált programozás</w:t>
      </w:r>
    </w:p>
    <w:p w:rsidR="00745695" w:rsidRPr="00745695" w:rsidRDefault="00745695" w:rsidP="00745695">
      <w:pPr>
        <w:pStyle w:val="Heading3"/>
      </w:pPr>
      <w:r>
        <w:t>Saját konstansok definiálása</w:t>
      </w:r>
    </w:p>
    <w:sectPr w:rsidR="00745695" w:rsidRPr="00745695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692" w:rsidRDefault="00BB6692" w:rsidP="003C61AA">
      <w:pPr>
        <w:spacing w:after="0" w:line="240" w:lineRule="auto"/>
      </w:pPr>
      <w:r>
        <w:separator/>
      </w:r>
    </w:p>
  </w:endnote>
  <w:endnote w:type="continuationSeparator" w:id="0">
    <w:p w:rsidR="00BB6692" w:rsidRDefault="00BB6692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692" w:rsidRDefault="00BB6692" w:rsidP="003C61AA">
      <w:pPr>
        <w:spacing w:after="0" w:line="240" w:lineRule="auto"/>
      </w:pPr>
      <w:r>
        <w:separator/>
      </w:r>
    </w:p>
  </w:footnote>
  <w:footnote w:type="continuationSeparator" w:id="0">
    <w:p w:rsidR="00BB6692" w:rsidRDefault="00BB6692" w:rsidP="003C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117D5"/>
    <w:rsid w:val="00015423"/>
    <w:rsid w:val="000165EF"/>
    <w:rsid w:val="000240EB"/>
    <w:rsid w:val="0003408D"/>
    <w:rsid w:val="00036E0F"/>
    <w:rsid w:val="000373E4"/>
    <w:rsid w:val="00037AA6"/>
    <w:rsid w:val="00044B50"/>
    <w:rsid w:val="00046EEB"/>
    <w:rsid w:val="000600E9"/>
    <w:rsid w:val="000654F1"/>
    <w:rsid w:val="00067157"/>
    <w:rsid w:val="000711D8"/>
    <w:rsid w:val="00075D56"/>
    <w:rsid w:val="00082A5E"/>
    <w:rsid w:val="00084862"/>
    <w:rsid w:val="00084EAB"/>
    <w:rsid w:val="00086239"/>
    <w:rsid w:val="000864F9"/>
    <w:rsid w:val="000936EF"/>
    <w:rsid w:val="00095479"/>
    <w:rsid w:val="00096186"/>
    <w:rsid w:val="00096888"/>
    <w:rsid w:val="000A2143"/>
    <w:rsid w:val="000B5998"/>
    <w:rsid w:val="000B7992"/>
    <w:rsid w:val="000D5C3B"/>
    <w:rsid w:val="000E4F5B"/>
    <w:rsid w:val="000E5D90"/>
    <w:rsid w:val="000F5EE6"/>
    <w:rsid w:val="000F6852"/>
    <w:rsid w:val="00102FD5"/>
    <w:rsid w:val="00103FB0"/>
    <w:rsid w:val="0010558B"/>
    <w:rsid w:val="0011324E"/>
    <w:rsid w:val="001234F6"/>
    <w:rsid w:val="00123DDE"/>
    <w:rsid w:val="00124A57"/>
    <w:rsid w:val="001275F0"/>
    <w:rsid w:val="001339E8"/>
    <w:rsid w:val="00136820"/>
    <w:rsid w:val="00147FE4"/>
    <w:rsid w:val="001526F1"/>
    <w:rsid w:val="001528D6"/>
    <w:rsid w:val="0015379E"/>
    <w:rsid w:val="00167E05"/>
    <w:rsid w:val="00175DDC"/>
    <w:rsid w:val="0018194C"/>
    <w:rsid w:val="00181B4F"/>
    <w:rsid w:val="001904CF"/>
    <w:rsid w:val="00193FEC"/>
    <w:rsid w:val="00197D61"/>
    <w:rsid w:val="001A0F54"/>
    <w:rsid w:val="001A34A4"/>
    <w:rsid w:val="001A3CCD"/>
    <w:rsid w:val="001A6CEC"/>
    <w:rsid w:val="001A7F63"/>
    <w:rsid w:val="001B37E8"/>
    <w:rsid w:val="001C363B"/>
    <w:rsid w:val="001C4114"/>
    <w:rsid w:val="001C7764"/>
    <w:rsid w:val="001D274D"/>
    <w:rsid w:val="001D7D30"/>
    <w:rsid w:val="001E0530"/>
    <w:rsid w:val="001E58BD"/>
    <w:rsid w:val="001F08A6"/>
    <w:rsid w:val="001F438F"/>
    <w:rsid w:val="001F66AB"/>
    <w:rsid w:val="001F671A"/>
    <w:rsid w:val="00203869"/>
    <w:rsid w:val="00204EF8"/>
    <w:rsid w:val="00216B3F"/>
    <w:rsid w:val="002176F3"/>
    <w:rsid w:val="0022138E"/>
    <w:rsid w:val="00235D1B"/>
    <w:rsid w:val="0024063E"/>
    <w:rsid w:val="00245A65"/>
    <w:rsid w:val="00250B10"/>
    <w:rsid w:val="0025129F"/>
    <w:rsid w:val="002525BF"/>
    <w:rsid w:val="00254F18"/>
    <w:rsid w:val="00260190"/>
    <w:rsid w:val="0026226C"/>
    <w:rsid w:val="00275011"/>
    <w:rsid w:val="002755ED"/>
    <w:rsid w:val="00277D0E"/>
    <w:rsid w:val="002835CF"/>
    <w:rsid w:val="00284E07"/>
    <w:rsid w:val="00293D90"/>
    <w:rsid w:val="00295951"/>
    <w:rsid w:val="002A6154"/>
    <w:rsid w:val="002B20DA"/>
    <w:rsid w:val="002B2D1C"/>
    <w:rsid w:val="002C0A2F"/>
    <w:rsid w:val="002C280C"/>
    <w:rsid w:val="002C5DE1"/>
    <w:rsid w:val="002C602A"/>
    <w:rsid w:val="002C6E58"/>
    <w:rsid w:val="002D62AA"/>
    <w:rsid w:val="002E2B8E"/>
    <w:rsid w:val="002E6F1F"/>
    <w:rsid w:val="002E7D20"/>
    <w:rsid w:val="002E7FD7"/>
    <w:rsid w:val="002F6034"/>
    <w:rsid w:val="0030387B"/>
    <w:rsid w:val="00303B38"/>
    <w:rsid w:val="00317778"/>
    <w:rsid w:val="003234F3"/>
    <w:rsid w:val="003236F8"/>
    <w:rsid w:val="003257CE"/>
    <w:rsid w:val="003263C0"/>
    <w:rsid w:val="003310F9"/>
    <w:rsid w:val="0033168D"/>
    <w:rsid w:val="00332FB5"/>
    <w:rsid w:val="003365EA"/>
    <w:rsid w:val="00362A81"/>
    <w:rsid w:val="00365B4E"/>
    <w:rsid w:val="00382E2A"/>
    <w:rsid w:val="00391F7D"/>
    <w:rsid w:val="0039327C"/>
    <w:rsid w:val="00394561"/>
    <w:rsid w:val="00396310"/>
    <w:rsid w:val="003A09E6"/>
    <w:rsid w:val="003A0DAC"/>
    <w:rsid w:val="003A4012"/>
    <w:rsid w:val="003A79AF"/>
    <w:rsid w:val="003B6F86"/>
    <w:rsid w:val="003C411A"/>
    <w:rsid w:val="003C61AA"/>
    <w:rsid w:val="003D7481"/>
    <w:rsid w:val="003E27C2"/>
    <w:rsid w:val="003E44B7"/>
    <w:rsid w:val="003F0543"/>
    <w:rsid w:val="003F4801"/>
    <w:rsid w:val="003F565F"/>
    <w:rsid w:val="003F7F56"/>
    <w:rsid w:val="00400773"/>
    <w:rsid w:val="00400C2D"/>
    <w:rsid w:val="00400D28"/>
    <w:rsid w:val="00401E43"/>
    <w:rsid w:val="00410CA6"/>
    <w:rsid w:val="0041218A"/>
    <w:rsid w:val="00426B01"/>
    <w:rsid w:val="004370C6"/>
    <w:rsid w:val="004468AF"/>
    <w:rsid w:val="00451BAE"/>
    <w:rsid w:val="00453994"/>
    <w:rsid w:val="004551B9"/>
    <w:rsid w:val="00462638"/>
    <w:rsid w:val="0047421A"/>
    <w:rsid w:val="00484FA6"/>
    <w:rsid w:val="00487EE3"/>
    <w:rsid w:val="004924B2"/>
    <w:rsid w:val="00495738"/>
    <w:rsid w:val="00497658"/>
    <w:rsid w:val="004977B9"/>
    <w:rsid w:val="004A14F8"/>
    <w:rsid w:val="004A246E"/>
    <w:rsid w:val="004A24AF"/>
    <w:rsid w:val="004A2D84"/>
    <w:rsid w:val="004A63A3"/>
    <w:rsid w:val="004B313B"/>
    <w:rsid w:val="004B46EB"/>
    <w:rsid w:val="004B707A"/>
    <w:rsid w:val="004D5420"/>
    <w:rsid w:val="004D75C2"/>
    <w:rsid w:val="004E28AD"/>
    <w:rsid w:val="004E2D7A"/>
    <w:rsid w:val="004F37BF"/>
    <w:rsid w:val="004F3DCB"/>
    <w:rsid w:val="00506844"/>
    <w:rsid w:val="005105E0"/>
    <w:rsid w:val="005179EC"/>
    <w:rsid w:val="00517BC8"/>
    <w:rsid w:val="0053280E"/>
    <w:rsid w:val="00536412"/>
    <w:rsid w:val="00543E8D"/>
    <w:rsid w:val="00552F88"/>
    <w:rsid w:val="005531FB"/>
    <w:rsid w:val="005548B0"/>
    <w:rsid w:val="00556E96"/>
    <w:rsid w:val="005608B1"/>
    <w:rsid w:val="00563234"/>
    <w:rsid w:val="00564D5C"/>
    <w:rsid w:val="0057152B"/>
    <w:rsid w:val="005826DD"/>
    <w:rsid w:val="005842FE"/>
    <w:rsid w:val="005849EA"/>
    <w:rsid w:val="0058523D"/>
    <w:rsid w:val="00592253"/>
    <w:rsid w:val="0059418C"/>
    <w:rsid w:val="00595893"/>
    <w:rsid w:val="005A0B4B"/>
    <w:rsid w:val="005A3F60"/>
    <w:rsid w:val="005A62B1"/>
    <w:rsid w:val="005A75A4"/>
    <w:rsid w:val="005B3038"/>
    <w:rsid w:val="005B503F"/>
    <w:rsid w:val="005C343D"/>
    <w:rsid w:val="005D5BDB"/>
    <w:rsid w:val="005D5CC7"/>
    <w:rsid w:val="005D5E41"/>
    <w:rsid w:val="005D6441"/>
    <w:rsid w:val="005E39F6"/>
    <w:rsid w:val="005E688D"/>
    <w:rsid w:val="005F2730"/>
    <w:rsid w:val="005F442B"/>
    <w:rsid w:val="005F45DD"/>
    <w:rsid w:val="006118F7"/>
    <w:rsid w:val="00614CA8"/>
    <w:rsid w:val="0061533C"/>
    <w:rsid w:val="00616694"/>
    <w:rsid w:val="0062662D"/>
    <w:rsid w:val="00633952"/>
    <w:rsid w:val="00636996"/>
    <w:rsid w:val="006409C7"/>
    <w:rsid w:val="00640A00"/>
    <w:rsid w:val="00640AF0"/>
    <w:rsid w:val="00642D65"/>
    <w:rsid w:val="00647CE4"/>
    <w:rsid w:val="00651A75"/>
    <w:rsid w:val="006552A4"/>
    <w:rsid w:val="00674DD6"/>
    <w:rsid w:val="00682604"/>
    <w:rsid w:val="00690EE2"/>
    <w:rsid w:val="0069460E"/>
    <w:rsid w:val="006A29D2"/>
    <w:rsid w:val="006B6D16"/>
    <w:rsid w:val="006C16E7"/>
    <w:rsid w:val="006C3486"/>
    <w:rsid w:val="006C351E"/>
    <w:rsid w:val="006D5CE2"/>
    <w:rsid w:val="006D7BEF"/>
    <w:rsid w:val="006E4387"/>
    <w:rsid w:val="006F163B"/>
    <w:rsid w:val="0070540E"/>
    <w:rsid w:val="007104A1"/>
    <w:rsid w:val="00712C6F"/>
    <w:rsid w:val="00713193"/>
    <w:rsid w:val="00717422"/>
    <w:rsid w:val="007179D4"/>
    <w:rsid w:val="007225CD"/>
    <w:rsid w:val="007240C6"/>
    <w:rsid w:val="007303DD"/>
    <w:rsid w:val="00731B12"/>
    <w:rsid w:val="007419C9"/>
    <w:rsid w:val="00745695"/>
    <w:rsid w:val="007457B2"/>
    <w:rsid w:val="00752C6A"/>
    <w:rsid w:val="007647E5"/>
    <w:rsid w:val="007670F3"/>
    <w:rsid w:val="00775823"/>
    <w:rsid w:val="0077634E"/>
    <w:rsid w:val="007800EC"/>
    <w:rsid w:val="007836DA"/>
    <w:rsid w:val="00783961"/>
    <w:rsid w:val="00784C4D"/>
    <w:rsid w:val="0078590A"/>
    <w:rsid w:val="007A05C6"/>
    <w:rsid w:val="007A756A"/>
    <w:rsid w:val="007B5FC6"/>
    <w:rsid w:val="007B67A0"/>
    <w:rsid w:val="007B707D"/>
    <w:rsid w:val="007B72DA"/>
    <w:rsid w:val="007C49F2"/>
    <w:rsid w:val="007C7588"/>
    <w:rsid w:val="007D0B61"/>
    <w:rsid w:val="007D37AC"/>
    <w:rsid w:val="007E4251"/>
    <w:rsid w:val="007F0480"/>
    <w:rsid w:val="007F6254"/>
    <w:rsid w:val="00803B39"/>
    <w:rsid w:val="0080501F"/>
    <w:rsid w:val="00807041"/>
    <w:rsid w:val="00807165"/>
    <w:rsid w:val="008108DF"/>
    <w:rsid w:val="00812B52"/>
    <w:rsid w:val="008162F5"/>
    <w:rsid w:val="00817E44"/>
    <w:rsid w:val="00824BB8"/>
    <w:rsid w:val="008521B8"/>
    <w:rsid w:val="008540EA"/>
    <w:rsid w:val="00856A3C"/>
    <w:rsid w:val="00857965"/>
    <w:rsid w:val="00860670"/>
    <w:rsid w:val="008649E7"/>
    <w:rsid w:val="00867DE8"/>
    <w:rsid w:val="00873975"/>
    <w:rsid w:val="00890FB0"/>
    <w:rsid w:val="008B090A"/>
    <w:rsid w:val="008C0B5F"/>
    <w:rsid w:val="008D4713"/>
    <w:rsid w:val="008D481C"/>
    <w:rsid w:val="008D4D26"/>
    <w:rsid w:val="008E30F4"/>
    <w:rsid w:val="0090450D"/>
    <w:rsid w:val="009102C4"/>
    <w:rsid w:val="00911522"/>
    <w:rsid w:val="009201B8"/>
    <w:rsid w:val="0092501E"/>
    <w:rsid w:val="00933586"/>
    <w:rsid w:val="00942453"/>
    <w:rsid w:val="009434BE"/>
    <w:rsid w:val="00950762"/>
    <w:rsid w:val="0095151D"/>
    <w:rsid w:val="00952026"/>
    <w:rsid w:val="009614AF"/>
    <w:rsid w:val="00962D1B"/>
    <w:rsid w:val="009668E2"/>
    <w:rsid w:val="00983970"/>
    <w:rsid w:val="0098647B"/>
    <w:rsid w:val="00990991"/>
    <w:rsid w:val="009949A7"/>
    <w:rsid w:val="009B44E8"/>
    <w:rsid w:val="009C5CB5"/>
    <w:rsid w:val="009C67E3"/>
    <w:rsid w:val="009D30F4"/>
    <w:rsid w:val="009D55CE"/>
    <w:rsid w:val="009F47D2"/>
    <w:rsid w:val="00A02A85"/>
    <w:rsid w:val="00A151BA"/>
    <w:rsid w:val="00A20926"/>
    <w:rsid w:val="00A23408"/>
    <w:rsid w:val="00A26FBE"/>
    <w:rsid w:val="00A27158"/>
    <w:rsid w:val="00A34D5A"/>
    <w:rsid w:val="00A42BF7"/>
    <w:rsid w:val="00A46EFC"/>
    <w:rsid w:val="00A47CE6"/>
    <w:rsid w:val="00A52365"/>
    <w:rsid w:val="00A52D92"/>
    <w:rsid w:val="00A555AA"/>
    <w:rsid w:val="00A56092"/>
    <w:rsid w:val="00A56C84"/>
    <w:rsid w:val="00A56DED"/>
    <w:rsid w:val="00A621A8"/>
    <w:rsid w:val="00A717E3"/>
    <w:rsid w:val="00A7401E"/>
    <w:rsid w:val="00A8334E"/>
    <w:rsid w:val="00A91E8C"/>
    <w:rsid w:val="00A9208E"/>
    <w:rsid w:val="00A92292"/>
    <w:rsid w:val="00A9264D"/>
    <w:rsid w:val="00A965FE"/>
    <w:rsid w:val="00AA1959"/>
    <w:rsid w:val="00AA285C"/>
    <w:rsid w:val="00AA3DF5"/>
    <w:rsid w:val="00AC3B33"/>
    <w:rsid w:val="00AD1AC7"/>
    <w:rsid w:val="00AD25B2"/>
    <w:rsid w:val="00AD62A4"/>
    <w:rsid w:val="00AD75CE"/>
    <w:rsid w:val="00AE1989"/>
    <w:rsid w:val="00AE4458"/>
    <w:rsid w:val="00B024F8"/>
    <w:rsid w:val="00B06D12"/>
    <w:rsid w:val="00B06DAB"/>
    <w:rsid w:val="00B12041"/>
    <w:rsid w:val="00B203DF"/>
    <w:rsid w:val="00B21F02"/>
    <w:rsid w:val="00B222E2"/>
    <w:rsid w:val="00B22D5C"/>
    <w:rsid w:val="00B23C70"/>
    <w:rsid w:val="00B31116"/>
    <w:rsid w:val="00B37ED5"/>
    <w:rsid w:val="00B404F4"/>
    <w:rsid w:val="00B454F6"/>
    <w:rsid w:val="00B47B73"/>
    <w:rsid w:val="00B514F1"/>
    <w:rsid w:val="00B7522C"/>
    <w:rsid w:val="00B75479"/>
    <w:rsid w:val="00B81AB2"/>
    <w:rsid w:val="00B826BF"/>
    <w:rsid w:val="00B86D32"/>
    <w:rsid w:val="00B90298"/>
    <w:rsid w:val="00B909D8"/>
    <w:rsid w:val="00B92060"/>
    <w:rsid w:val="00B9496C"/>
    <w:rsid w:val="00B95447"/>
    <w:rsid w:val="00BA6794"/>
    <w:rsid w:val="00BA6D38"/>
    <w:rsid w:val="00BA7603"/>
    <w:rsid w:val="00BB6391"/>
    <w:rsid w:val="00BB6692"/>
    <w:rsid w:val="00BC4B0E"/>
    <w:rsid w:val="00BC56FC"/>
    <w:rsid w:val="00BD0160"/>
    <w:rsid w:val="00BD22EE"/>
    <w:rsid w:val="00BD62E0"/>
    <w:rsid w:val="00BD7113"/>
    <w:rsid w:val="00BE3E4A"/>
    <w:rsid w:val="00BE6A9A"/>
    <w:rsid w:val="00BF0494"/>
    <w:rsid w:val="00C02607"/>
    <w:rsid w:val="00C03BD5"/>
    <w:rsid w:val="00C07BF6"/>
    <w:rsid w:val="00C172FC"/>
    <w:rsid w:val="00C262CA"/>
    <w:rsid w:val="00C313E4"/>
    <w:rsid w:val="00C31EF8"/>
    <w:rsid w:val="00C33C60"/>
    <w:rsid w:val="00C365C9"/>
    <w:rsid w:val="00C42F94"/>
    <w:rsid w:val="00C47057"/>
    <w:rsid w:val="00C51C09"/>
    <w:rsid w:val="00C63219"/>
    <w:rsid w:val="00C66364"/>
    <w:rsid w:val="00C7155B"/>
    <w:rsid w:val="00C90AAC"/>
    <w:rsid w:val="00C93DB7"/>
    <w:rsid w:val="00CA144D"/>
    <w:rsid w:val="00CA1FF9"/>
    <w:rsid w:val="00CB3F6E"/>
    <w:rsid w:val="00CB5BC5"/>
    <w:rsid w:val="00CB5CF5"/>
    <w:rsid w:val="00CD65E7"/>
    <w:rsid w:val="00CE2B4E"/>
    <w:rsid w:val="00CE607D"/>
    <w:rsid w:val="00CE7D15"/>
    <w:rsid w:val="00CF3F09"/>
    <w:rsid w:val="00D11050"/>
    <w:rsid w:val="00D12EC8"/>
    <w:rsid w:val="00D165BC"/>
    <w:rsid w:val="00D33D65"/>
    <w:rsid w:val="00D344DA"/>
    <w:rsid w:val="00D362FE"/>
    <w:rsid w:val="00D40610"/>
    <w:rsid w:val="00D56EFC"/>
    <w:rsid w:val="00D572C9"/>
    <w:rsid w:val="00D60075"/>
    <w:rsid w:val="00D601DF"/>
    <w:rsid w:val="00D60B0B"/>
    <w:rsid w:val="00D6412A"/>
    <w:rsid w:val="00D73EE8"/>
    <w:rsid w:val="00D74DF9"/>
    <w:rsid w:val="00D75DB1"/>
    <w:rsid w:val="00D807A0"/>
    <w:rsid w:val="00D815FC"/>
    <w:rsid w:val="00D83CD1"/>
    <w:rsid w:val="00D85167"/>
    <w:rsid w:val="00D9003C"/>
    <w:rsid w:val="00D974B3"/>
    <w:rsid w:val="00DA34BE"/>
    <w:rsid w:val="00DA5DE9"/>
    <w:rsid w:val="00DB057A"/>
    <w:rsid w:val="00DB6C1E"/>
    <w:rsid w:val="00DC136B"/>
    <w:rsid w:val="00DC1F7F"/>
    <w:rsid w:val="00DC2354"/>
    <w:rsid w:val="00DD489C"/>
    <w:rsid w:val="00DE2110"/>
    <w:rsid w:val="00DE46B4"/>
    <w:rsid w:val="00DE5C8E"/>
    <w:rsid w:val="00DF02AA"/>
    <w:rsid w:val="00DF4D1B"/>
    <w:rsid w:val="00DF519E"/>
    <w:rsid w:val="00E00A91"/>
    <w:rsid w:val="00E050E5"/>
    <w:rsid w:val="00E10EE2"/>
    <w:rsid w:val="00E12325"/>
    <w:rsid w:val="00E13C43"/>
    <w:rsid w:val="00E23446"/>
    <w:rsid w:val="00E46473"/>
    <w:rsid w:val="00E472EB"/>
    <w:rsid w:val="00E52B93"/>
    <w:rsid w:val="00E54ED1"/>
    <w:rsid w:val="00E55509"/>
    <w:rsid w:val="00E645F1"/>
    <w:rsid w:val="00E64738"/>
    <w:rsid w:val="00E66C84"/>
    <w:rsid w:val="00E71206"/>
    <w:rsid w:val="00E76E11"/>
    <w:rsid w:val="00E807DC"/>
    <w:rsid w:val="00E82DCE"/>
    <w:rsid w:val="00E83550"/>
    <w:rsid w:val="00E862F1"/>
    <w:rsid w:val="00EA0271"/>
    <w:rsid w:val="00EA57F3"/>
    <w:rsid w:val="00EA61ED"/>
    <w:rsid w:val="00EB0429"/>
    <w:rsid w:val="00EC3A18"/>
    <w:rsid w:val="00ED5E30"/>
    <w:rsid w:val="00EE2D59"/>
    <w:rsid w:val="00EE6403"/>
    <w:rsid w:val="00EE7904"/>
    <w:rsid w:val="00EF22FB"/>
    <w:rsid w:val="00EF7F15"/>
    <w:rsid w:val="00F11229"/>
    <w:rsid w:val="00F14D49"/>
    <w:rsid w:val="00F15059"/>
    <w:rsid w:val="00F1625A"/>
    <w:rsid w:val="00F164F8"/>
    <w:rsid w:val="00F16BAF"/>
    <w:rsid w:val="00F1782B"/>
    <w:rsid w:val="00F17CA2"/>
    <w:rsid w:val="00F2088D"/>
    <w:rsid w:val="00F2419B"/>
    <w:rsid w:val="00F258C0"/>
    <w:rsid w:val="00F349F0"/>
    <w:rsid w:val="00F4479D"/>
    <w:rsid w:val="00F607C7"/>
    <w:rsid w:val="00F6238F"/>
    <w:rsid w:val="00F71F0C"/>
    <w:rsid w:val="00F7396B"/>
    <w:rsid w:val="00F87896"/>
    <w:rsid w:val="00F9697C"/>
    <w:rsid w:val="00FA4F56"/>
    <w:rsid w:val="00FA616F"/>
    <w:rsid w:val="00FA6F88"/>
    <w:rsid w:val="00FB6109"/>
    <w:rsid w:val="00FD0057"/>
    <w:rsid w:val="00FE0C0A"/>
    <w:rsid w:val="00FE0F4E"/>
    <w:rsid w:val="00FE6D74"/>
    <w:rsid w:val="00FF2AB9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oList"/>
    <w:uiPriority w:val="99"/>
    <w:rsid w:val="00563234"/>
    <w:pPr>
      <w:numPr>
        <w:numId w:val="4"/>
      </w:numPr>
    </w:pPr>
  </w:style>
  <w:style w:type="paragraph" w:styleId="ListParagraph">
    <w:name w:val="List Paragraph"/>
    <w:basedOn w:val="Normal"/>
    <w:uiPriority w:val="34"/>
    <w:rsid w:val="00563234"/>
    <w:pPr>
      <w:ind w:left="720"/>
      <w:contextualSpacing/>
    </w:pPr>
  </w:style>
  <w:style w:type="paragraph" w:styleId="NoSpacing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al"/>
    <w:next w:val="Norma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DefaultParagraphFont"/>
    <w:link w:val="Kdrszlet"/>
    <w:rsid w:val="007240C6"/>
    <w:rPr>
      <w:rFonts w:ascii="Courier New" w:hAnsi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DefaultParagraphFont"/>
    <w:uiPriority w:val="1"/>
    <w:qFormat/>
    <w:rsid w:val="00717422"/>
    <w:rPr>
      <w:i/>
    </w:rPr>
  </w:style>
  <w:style w:type="character" w:styleId="PlaceholderText">
    <w:name w:val="Placeholder Text"/>
    <w:basedOn w:val="DefaultParagraphFont"/>
    <w:uiPriority w:val="99"/>
    <w:semiHidden/>
    <w:rsid w:val="00C31EF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al"/>
    <w:link w:val="braChar"/>
    <w:qFormat/>
    <w:rsid w:val="0039327C"/>
    <w:pPr>
      <w:keepNext/>
      <w:spacing w:before="400"/>
      <w:ind w:firstLine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DefaultParagraphFont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1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FE770-051F-4EF7-852F-90B65C35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14</Pages>
  <Words>2365</Words>
  <Characters>16320</Characters>
  <Application>Microsoft Office Word</Application>
  <DocSecurity>0</DocSecurity>
  <Lines>136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Tamas Szabo</cp:lastModifiedBy>
  <cp:revision>19</cp:revision>
  <dcterms:created xsi:type="dcterms:W3CDTF">2014-03-08T22:42:00Z</dcterms:created>
  <dcterms:modified xsi:type="dcterms:W3CDTF">2014-04-01T22:11:00Z</dcterms:modified>
</cp:coreProperties>
</file>