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Cash In Motion — Cahier des charges &amp; spécifications techniques</w:t>
      </w:r>
    </w:p>
    <w:p>
      <w:pPr/>
      <w:r>
        <w:t xml:space="preserve">Oct 15, 2026</w:t>
      </w:r>
      <w:r>
        <w:t xml:space="preserve"> · </w:t>
      </w:r>
      <w:r>
        <w:t xml:space="preserve">@Seydou Zakou</w:t>
      </w:r>
    </w:p>
    <w:p>
      <w:pPr>
        <w:pStyle w:val="Heading2"/>
      </w:pPr>
      <w:r>
        <w:t xml:space="preserve">1. Contexte, objectifs et périmètre</w:t>
      </w:r>
    </w:p>
    <w:p>
      <w:pPr/>
      <w:r>
        <w:t xml:space="preserve">Cash In Motion est une plateforme de transfert d'argent et de portefeuille électronique (wallet), opérée depuis le Sénégal, qui permet d'envoyer de l'argent en agence ou de pair à pair, et de déposer/retirer des espèces via QR Code.</w:t>
      </w:r>
    </w:p>
    <w:p>
      <w:pPr/>
      <w:r>
        <w:rPr>
          <w:b/>
        </w:rPr>
        <w:t xml:space="preserve">Objectifs</w:t>
      </w:r>
    </w:p>
    <w:p>
      <w:pPr>
        <w:pStyle w:val="ListParagraph"/>
        <w:numPr>
          <w:ilvl w:val="0"/>
          <w:numId w:val="2"/>
        </w:numPr>
      </w:pPr>
      <w:r>
        <w:t xml:space="preserve">Permettre aux agences d'effectuer des envois et des paiements (retraits) nationaux et internationaux, avec calcul automatique des frais, taxes et taux de change.</w:t>
      </w:r>
    </w:p>
    <w:p>
      <w:pPr>
        <w:pStyle w:val="ListParagraph"/>
        <w:numPr>
          <w:ilvl w:val="0"/>
          <w:numId w:val="2"/>
        </w:numPr>
      </w:pPr>
      <w:r>
        <w:t xml:space="preserve">Offrir aux clients un wallet mobile : consultation du solde, transfert P2P, cash-in/cash-out en agence par QR Code.</w:t>
      </w:r>
    </w:p>
    <w:p>
      <w:pPr>
        <w:pStyle w:val="ListParagraph"/>
        <w:numPr>
          <w:ilvl w:val="0"/>
          <w:numId w:val="2"/>
        </w:numPr>
      </w:pPr>
      <w:r>
        <w:t xml:space="preserve">Donner à l'administration une configuration centralisée (pays, villes, grilles tarifaires, taux de taxes, taux de change) et un pilotage par tableaux de bord.</w:t>
      </w:r>
    </w:p>
    <w:p>
      <w:pPr>
        <w:pStyle w:val="ListParagraph"/>
        <w:numPr>
          <w:ilvl w:val="0"/>
          <w:numId w:val="2"/>
        </w:numPr>
      </w:pPr>
      <w:r>
        <w:t xml:space="preserve">Garantir la conformité réglementaire (protection des données, LBC/FT – AML/KYC, réglementation BCEAO sur la monnaie électronique).</w:t>
      </w:r>
    </w:p>
    <w:p>
      <w:pPr/>
      <w:r>
        <w:rPr>
          <w:b/>
        </w:rPr>
        <w:t xml:space="preserve">Périmètre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Livrable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Utilisateurs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Back-office Web</w:t>
            </w:r>
          </w:p>
        </w:tc>
        <w:tc>
          <w:tcPr>
            <w:tcW w:w="3120" w:type="dxa"/>
          </w:tcPr>
          <w:p>
            <w:pPr/>
            <w:r>
              <w:t xml:space="preserve">Administrateur, Support client, Compliance</w:t>
            </w:r>
          </w:p>
        </w:tc>
        <w:tc>
          <w:tcPr>
            <w:tcW w:w="3120" w:type="dxa"/>
          </w:tcPr>
          <w:p>
            <w:pPr/>
            <w:r>
              <w:t xml:space="preserve">Navigateur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Portail Agence Web</w:t>
            </w:r>
          </w:p>
        </w:tc>
        <w:tc>
          <w:tcPr>
            <w:tcW w:w="3120" w:type="dxa"/>
          </w:tcPr>
          <w:p>
            <w:pPr/>
            <w:r>
              <w:t xml:space="preserve">Agent / Superviseur d'agence</w:t>
            </w:r>
          </w:p>
        </w:tc>
        <w:tc>
          <w:tcPr>
            <w:tcW w:w="3120" w:type="dxa"/>
          </w:tcPr>
          <w:p>
            <w:pPr/>
            <w:r>
              <w:t xml:space="preserve">Navigateur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mobile Agence</w:t>
            </w:r>
          </w:p>
        </w:tc>
        <w:tc>
          <w:tcPr>
            <w:tcW w:w="3120" w:type="dxa"/>
          </w:tcPr>
          <w:p>
            <w:pPr/>
            <w:r>
              <w:t xml:space="preserve">Agent d'agence</w:t>
            </w:r>
          </w:p>
        </w:tc>
        <w:tc>
          <w:tcPr>
            <w:tcW w:w="3120" w:type="dxa"/>
          </w:tcPr>
          <w:p>
            <w:pPr/>
            <w:r>
              <w:t xml:space="preserve">Android (prioritaire), 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mobile Client</w:t>
            </w:r>
          </w:p>
        </w:tc>
        <w:tc>
          <w:tcPr>
            <w:tcW w:w="3120" w:type="dxa"/>
          </w:tcPr>
          <w:p>
            <w:pPr/>
            <w:r>
              <w:t xml:space="preserve">Client final</w:t>
            </w:r>
          </w:p>
        </w:tc>
        <w:tc>
          <w:tcPr>
            <w:tcW w:w="3120" w:type="dxa"/>
          </w:tcPr>
          <w:p>
            <w:pPr/>
            <w:r>
              <w:t xml:space="preserve">Android, 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&amp; services backend</w:t>
            </w:r>
          </w:p>
        </w:tc>
        <w:tc>
          <w:tcPr>
            <w:tcW w:w="3120" w:type="dxa"/>
          </w:tcPr>
          <w:p>
            <w:pPr/>
            <w:r>
              <w:t xml:space="preserve">Toutes les applications, partenaires</w:t>
            </w:r>
          </w:p>
        </w:tc>
        <w:tc>
          <w:tcPr>
            <w:tcW w:w="3120" w:type="dxa"/>
          </w:tcPr>
          <w:p>
            <w:pPr/>
            <w:r>
              <w:t xml:space="preserve">REST / Webhooks</w:t>
            </w:r>
          </w:p>
        </w:tc>
      </w:tr>
    </w:tbl>
    <w:p>
      <w:pPr/>
      <w:r>
        <w:rPr>
          <w:b/>
        </w:rPr>
        <w:t xml:space="preserve">Hors périmètre (V1)</w:t>
      </w:r>
      <w:r>
        <w:t xml:space="preserve"> : cartes bancaires virtuelles, crédit/microcrédit, paiement marchand en ligne, intégration directe aux opérateurs Mobile Money (prévue en V2).</w:t>
      </w:r>
    </w:p>
    <w:p>
      <w:pPr>
        <w:pStyle w:val="Heading2"/>
      </w:pPr>
      <w:r>
        <w:t xml:space="preserve">2. Acteurs et rôles</w:t>
      </w:r>
    </w:p>
    <w:p>
      <w:pPr/>
      <w:r>
        <w:t xml:space="preserve">L'accès est contrôlé par rôles (RBAC) ; chaque utilisateur interne est rattaché à une agence ou au siège.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Application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Responsabilités principales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 administrateur</w:t>
            </w:r>
          </w:p>
        </w:tc>
        <w:tc>
          <w:tcPr>
            <w:tcW w:w="3120" w:type="dxa"/>
          </w:tcPr>
          <w:p>
            <w:pPr/>
            <w:r>
              <w:t xml:space="preserve">Back-office Web</w:t>
            </w:r>
          </w:p>
        </w:tc>
        <w:tc>
          <w:tcPr>
            <w:tcW w:w="3120" w:type="dxa"/>
          </w:tcPr>
          <w:p>
            <w:pPr/>
            <w:r>
              <w:t xml:space="preserve">Gestion des administrateurs, paramètres système sensibles, audit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Administrateur</w:t>
            </w:r>
          </w:p>
        </w:tc>
        <w:tc>
          <w:tcPr>
            <w:tcW w:w="3120" w:type="dxa"/>
          </w:tcPr>
          <w:p>
            <w:pPr/>
            <w:r>
              <w:t xml:space="preserve">Back-office Web</w:t>
            </w:r>
          </w:p>
        </w:tc>
        <w:tc>
          <w:tcPr>
            <w:tcW w:w="3120" w:type="dxa"/>
          </w:tcPr>
          <w:p>
            <w:pPr/>
            <w:r>
              <w:t xml:space="preserve">Agences, pays/régions/villes, grilles de frais, taux de taxes et de change, plafonds, tableau de bord global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Responsable conformité</w:t>
            </w:r>
          </w:p>
        </w:tc>
        <w:tc>
          <w:tcPr>
            <w:tcW w:w="3120" w:type="dxa"/>
          </w:tcPr>
          <w:p>
            <w:pPr/>
            <w:r>
              <w:t xml:space="preserve">Back-office Web</w:t>
            </w:r>
          </w:p>
        </w:tc>
        <w:tc>
          <w:tcPr>
            <w:tcW w:w="3120" w:type="dxa"/>
          </w:tcPr>
          <w:p>
            <w:pPr/>
            <w:r>
              <w:t xml:space="preserve">Validation KYC, revue des alertes AML, gel/déblocage de transactions et comptes, déclarations CENTIF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Support client</w:t>
            </w:r>
          </w:p>
        </w:tc>
        <w:tc>
          <w:tcPr>
            <w:tcW w:w="3120" w:type="dxa"/>
          </w:tcPr>
          <w:p>
            <w:pPr/>
            <w:r>
              <w:t xml:space="preserve">Back-office Web</w:t>
            </w:r>
          </w:p>
        </w:tc>
        <w:tc>
          <w:tcPr>
            <w:tcW w:w="3120" w:type="dxa"/>
          </w:tcPr>
          <w:p>
            <w:pPr/>
            <w:r>
              <w:t xml:space="preserve">Recherche et consultation des transactions, historique, tickets, actions limitées (renvoi de code, signalement)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Superviseur d'agence</w:t>
            </w:r>
          </w:p>
        </w:tc>
        <w:tc>
          <w:tcPr>
            <w:tcW w:w="3120" w:type="dxa"/>
          </w:tcPr>
          <w:p>
            <w:pPr/>
            <w:r>
              <w:t xml:space="preserve">Portail Agence + mobile</w:t>
            </w:r>
          </w:p>
        </w:tc>
        <w:tc>
          <w:tcPr>
            <w:tcW w:w="3120" w:type="dxa"/>
          </w:tcPr>
          <w:p>
            <w:pPr/>
            <w:r>
              <w:t xml:space="preserve">Gestion des agents de son agence, caisse et float, tableaux de bord de l'agence, annulations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d'agence</w:t>
            </w:r>
          </w:p>
        </w:tc>
        <w:tc>
          <w:tcPr>
            <w:tcW w:w="3120" w:type="dxa"/>
          </w:tcPr>
          <w:p>
            <w:pPr/>
            <w:r>
              <w:t xml:space="preserve">Portail Agence + mobile</w:t>
            </w:r>
          </w:p>
        </w:tc>
        <w:tc>
          <w:tcPr>
            <w:tcW w:w="3120" w:type="dxa"/>
          </w:tcPr>
          <w:p>
            <w:pPr/>
            <w:r>
              <w:t xml:space="preserve">Envoi, paiement, cash-in/cash-out client par QR Code, clôture de caisse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 (wallet)</w:t>
            </w:r>
          </w:p>
        </w:tc>
        <w:tc>
          <w:tcPr>
            <w:tcW w:w="3120" w:type="dxa"/>
          </w:tcPr>
          <w:p>
            <w:pPr/>
            <w:r>
              <w:t xml:space="preserve">App mobile Client</w:t>
            </w:r>
          </w:p>
        </w:tc>
        <w:tc>
          <w:tcPr>
            <w:tcW w:w="3120" w:type="dxa"/>
          </w:tcPr>
          <w:p>
            <w:pPr/>
            <w:r>
              <w:t xml:space="preserve">Inscription/KYC, solde, P2P, cash-in/cash-out en agence, historique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Expéditeur / Bénéficiaire non inscrits</w:t>
            </w:r>
          </w:p>
        </w:tc>
        <w:tc>
          <w:tcPr>
            <w:tcW w:w="3120" w:type="dxa"/>
          </w:tcPr>
          <w:p>
            <w:pPr/>
            <w:r>
              <w:t xml:space="preserve">Agence</w:t>
            </w:r>
          </w:p>
        </w:tc>
        <w:tc>
          <w:tcPr>
            <w:tcW w:w="3120" w:type="dxa"/>
          </w:tcPr>
          <w:p>
            <w:pPr/>
            <w:r>
              <w:t xml:space="preserve">Personnes servies au guichet sans wallet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Partenaires (V2)</w:t>
            </w:r>
          </w:p>
        </w:tc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Correspondants étrangers, opérateurs Mobile Money, banques</w:t>
            </w:r>
          </w:p>
        </w:tc>
      </w:tr>
    </w:tbl>
    <w:p>
      <w:pPr>
        <w:pStyle w:val="Heading2"/>
      </w:pPr>
      <w:r>
        <w:t xml:space="preserve">3. Modèle de données fonctionnel</w:t>
      </w:r>
    </w:p>
    <w:p>
      <w:pPr/>
      <w:r>
        <w:t xml:space="preserve">Les entités du cahier initial sont reprises et complétées par celles nécessaires au wallet, à la comptabilité et à la conformité.</w:t>
      </w:r>
    </w:p>
    <w:p>
      <w:pPr>
        <w:pStyle w:val="Heading3"/>
      </w:pPr>
      <w:r>
        <w:t xml:space="preserve">3.1 Expéditeur (Client)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Champ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Obligatoire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Règle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Nom et prénoms</w:t>
            </w:r>
          </w:p>
        </w:tc>
        <w:tc>
          <w:tcPr>
            <w:tcW w:w="2340" w:type="dxa"/>
          </w:tcPr>
          <w:p>
            <w:pPr/>
            <w:r>
              <w:t xml:space="preserve">Texte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  <w:r>
              <w:t xml:space="preserve">Contrôle listes de sanctions/PEP à la saisie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Adresse</w:t>
            </w:r>
          </w:p>
        </w:tc>
        <w:tc>
          <w:tcPr>
            <w:tcW w:w="2340" w:type="dxa"/>
          </w:tcPr>
          <w:p>
            <w:pPr/>
            <w:r>
              <w:t xml:space="preserve">Texte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Ville</w:t>
            </w:r>
          </w:p>
        </w:tc>
        <w:tc>
          <w:tcPr>
            <w:tcW w:w="2340" w:type="dxa"/>
          </w:tcPr>
          <w:p>
            <w:pPr/>
            <w:r>
              <w:t xml:space="preserve">Référentiel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  <w:r>
              <w:t xml:space="preserve">Issue du paramétrage admin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Pays</w:t>
            </w:r>
          </w:p>
        </w:tc>
        <w:tc>
          <w:tcPr>
            <w:tcW w:w="2340" w:type="dxa"/>
          </w:tcPr>
          <w:p>
            <w:pPr/>
            <w:r>
              <w:t xml:space="preserve">Référentiel ISO 3166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  <w:r>
              <w:t xml:space="preserve">Pays d'envoi autorisé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Téléphone</w:t>
            </w:r>
          </w:p>
        </w:tc>
        <w:tc>
          <w:tcPr>
            <w:tcW w:w="2340" w:type="dxa"/>
          </w:tcPr>
          <w:p>
            <w:pPr/>
            <w:r>
              <w:t xml:space="preserve">E.164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  <w:r>
              <w:t xml:space="preserve">Unique par client wallet, vérifié par OTP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Type de pièce d'identité</w:t>
            </w:r>
          </w:p>
        </w:tc>
        <w:tc>
          <w:tcPr>
            <w:tcW w:w="2340" w:type="dxa"/>
          </w:tcPr>
          <w:p>
            <w:pPr/>
            <w:r>
              <w:t xml:space="preserve">Liste (CNI CEDEAO, passeport, carte consulaire, permis…)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Numéro de pièce</w:t>
            </w:r>
          </w:p>
        </w:tc>
        <w:tc>
          <w:tcPr>
            <w:tcW w:w="2340" w:type="dxa"/>
          </w:tcPr>
          <w:p>
            <w:pPr/>
            <w:r>
              <w:t xml:space="preserve">Texte</w:t>
            </w:r>
          </w:p>
        </w:tc>
        <w:tc>
          <w:tcPr>
            <w:tcW w:w="2340" w:type="dxa"/>
          </w:tcPr>
          <w:p>
            <w:pPr/>
            <w:r>
              <w:t xml:space="preserve">Oui</w:t>
            </w:r>
          </w:p>
        </w:tc>
        <w:tc>
          <w:tcPr>
            <w:tcW w:w="2340" w:type="dxa"/>
          </w:tcPr>
          <w:p>
            <w:pPr/>
            <w:r>
              <w:t xml:space="preserve">Chiffré au repos ; + date d'expiration et scan recto/verso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Question test</w:t>
            </w:r>
          </w:p>
        </w:tc>
        <w:tc>
          <w:tcPr>
            <w:tcW w:w="2340" w:type="dxa"/>
          </w:tcPr>
          <w:p>
            <w:pPr/>
            <w:r>
              <w:t xml:space="preserve">Texte</w:t>
            </w:r>
          </w:p>
        </w:tc>
        <w:tc>
          <w:tcPr>
            <w:tcW w:w="2340" w:type="dxa"/>
          </w:tcPr>
          <w:p>
            <w:pPr/>
            <w:r>
              <w:t xml:space="preserve">Non</w:t>
            </w:r>
          </w:p>
        </w:tc>
        <w:tc>
          <w:tcPr>
            <w:tcW w:w="2340" w:type="dxa"/>
          </w:tcPr>
          <w:p>
            <w:pPr/>
            <w:r>
              <w:t xml:space="preserve">Utilisée au paiement si renseignée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Réponse</w:t>
            </w:r>
          </w:p>
        </w:tc>
        <w:tc>
          <w:tcPr>
            <w:tcW w:w="2340" w:type="dxa"/>
          </w:tcPr>
          <w:p>
            <w:pPr/>
            <w:r>
              <w:t xml:space="preserve">Texte</w:t>
            </w:r>
          </w:p>
        </w:tc>
        <w:tc>
          <w:tcPr>
            <w:tcW w:w="2340" w:type="dxa"/>
          </w:tcPr>
          <w:p>
            <w:pPr/>
            <w:r>
              <w:t xml:space="preserve">Non</w:t>
            </w:r>
          </w:p>
        </w:tc>
        <w:tc>
          <w:tcPr>
            <w:tcW w:w="2340" w:type="dxa"/>
          </w:tcPr>
          <w:p>
            <w:pPr/>
            <w:r>
              <w:t xml:space="preserve">Stockée hachée, jamais affichée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Ajouts proposés</w:t>
            </w:r>
          </w:p>
        </w:tc>
        <w:tc>
          <w:tcPr>
            <w:tcW w:w="2340" w:type="dxa"/>
          </w:tcPr>
          <w:p>
            <w:pPr/>
            <w:r>
              <w:t xml:space="preserve">Date de naissance, nationalité, profession, source des fonds, niveau KYC</w:t>
            </w:r>
          </w:p>
        </w:tc>
        <w:tc>
          <w:tcPr>
            <w:tcW w:w="2340" w:type="dxa"/>
          </w:tcPr>
          <w:p>
            <w:pPr/>
            <w:r>
              <w:t xml:space="preserve">Selon montant</w:t>
            </w:r>
          </w:p>
        </w:tc>
        <w:tc>
          <w:tcPr>
            <w:tcW w:w="2340" w:type="dxa"/>
          </w:tcPr>
          <w:p>
            <w:pPr/>
            <w:r>
              <w:t xml:space="preserve">Exigés par la LBC/FT</w:t>
            </w:r>
          </w:p>
        </w:tc>
      </w:tr>
    </w:tbl>
    <w:p>
      <w:pPr>
        <w:pStyle w:val="Heading3"/>
      </w:pPr>
      <w:r>
        <w:t xml:space="preserve">3.2 Bénéficiaire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Champ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Obligatoire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 et prénoms</w:t>
            </w:r>
          </w:p>
        </w:tc>
        <w:tc>
          <w:tcPr>
            <w:tcW w:w="3120" w:type="dxa"/>
          </w:tcPr>
          <w:p>
            <w:pPr/>
            <w:r>
              <w:t xml:space="preserve">Texte</w:t>
            </w:r>
          </w:p>
        </w:tc>
        <w:tc>
          <w:tcPr>
            <w:tcW w:w="3120" w:type="dxa"/>
          </w:tcPr>
          <w:p>
            <w:pPr/>
            <w:r>
              <w:t xml:space="preserve">Oui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Ville</w:t>
            </w:r>
          </w:p>
        </w:tc>
        <w:tc>
          <w:tcPr>
            <w:tcW w:w="3120" w:type="dxa"/>
          </w:tcPr>
          <w:p>
            <w:pPr/>
            <w:r>
              <w:t xml:space="preserve">Référentiel</w:t>
            </w:r>
          </w:p>
        </w:tc>
        <w:tc>
          <w:tcPr>
            <w:tcW w:w="3120" w:type="dxa"/>
          </w:tcPr>
          <w:p>
            <w:pPr/>
            <w:r>
              <w:t xml:space="preserve">Non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Pays</w:t>
            </w:r>
          </w:p>
        </w:tc>
        <w:tc>
          <w:tcPr>
            <w:tcW w:w="3120" w:type="dxa"/>
          </w:tcPr>
          <w:p>
            <w:pPr/>
            <w:r>
              <w:t xml:space="preserve">Référentiel</w:t>
            </w:r>
          </w:p>
        </w:tc>
        <w:tc>
          <w:tcPr>
            <w:tcW w:w="3120" w:type="dxa"/>
          </w:tcPr>
          <w:p>
            <w:pPr/>
            <w:r>
              <w:t xml:space="preserve">Oui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Message</w:t>
            </w:r>
          </w:p>
        </w:tc>
        <w:tc>
          <w:tcPr>
            <w:tcW w:w="3120" w:type="dxa"/>
          </w:tcPr>
          <w:p>
            <w:pPr/>
            <w:r>
              <w:t xml:space="preserve">Texte (≤ 160 caractères)</w:t>
            </w:r>
          </w:p>
        </w:tc>
        <w:tc>
          <w:tcPr>
            <w:tcW w:w="3120" w:type="dxa"/>
          </w:tcPr>
          <w:p>
            <w:pPr/>
            <w:r>
              <w:t xml:space="preserve">Non — génère des frais de message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Téléphone (ajout proposé)</w:t>
            </w:r>
          </w:p>
        </w:tc>
        <w:tc>
          <w:tcPr>
            <w:tcW w:w="3120" w:type="dxa"/>
          </w:tcPr>
          <w:p>
            <w:pPr/>
            <w:r>
              <w:t xml:space="preserve">E.164</w:t>
            </w:r>
          </w:p>
        </w:tc>
        <w:tc>
          <w:tcPr>
            <w:tcW w:w="3120" w:type="dxa"/>
          </w:tcPr>
          <w:p>
            <w:pPr/>
            <w:r>
              <w:t xml:space="preserve">Recommandé — notification SMS du code</w:t>
            </w:r>
          </w:p>
        </w:tc>
      </w:tr>
    </w:tbl>
    <w:p>
      <w:pPr/>
      <w:r>
        <w:t xml:space="preserve">Au paiement, l'agent saisit la pièce d'identité du bénéficiaire (type, numéro), qui est rattachée à la transaction.</w:t>
      </w:r>
    </w:p>
    <w:p>
      <w:pPr>
        <w:pStyle w:val="Heading3"/>
      </w:pPr>
      <w:r>
        <w:t xml:space="preserve">3.3 Envoi (Transaction de transfert)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Champ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Code</w:t>
            </w:r>
          </w:p>
        </w:tc>
        <w:tc>
          <w:tcPr>
            <w:tcW w:w="4680" w:type="dxa"/>
          </w:tcPr>
          <w:p>
            <w:pPr/>
            <w:r>
              <w:t xml:space="preserve">Référence unique de retrait (ex. 10 chiffres + clé de contrôle), non devinable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 et heure</w:t>
            </w:r>
          </w:p>
        </w:tc>
        <w:tc>
          <w:tcPr>
            <w:tcW w:w="4680" w:type="dxa"/>
          </w:tcPr>
          <w:p>
            <w:pPr/>
            <w:r>
              <w:t xml:space="preserve">Horodatage UTC + fuseau de l'agence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(nom, adresse)</w:t>
            </w:r>
          </w:p>
        </w:tc>
        <w:tc>
          <w:tcPr>
            <w:tcW w:w="4680" w:type="dxa"/>
          </w:tcPr>
          <w:p>
            <w:pPr/>
            <w:r>
              <w:t xml:space="preserve">Agent et agence émettrice ; agent et agence payeuse au retrait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Montant envoyé</w:t>
            </w:r>
          </w:p>
        </w:tc>
        <w:tc>
          <w:tcPr>
            <w:tcW w:w="4680" w:type="dxa"/>
          </w:tcPr>
          <w:p>
            <w:pPr/>
            <w:r>
              <w:t xml:space="preserve">En monnaie d'envoi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Frais de transfert</w:t>
            </w:r>
          </w:p>
        </w:tc>
        <w:tc>
          <w:tcPr>
            <w:tcW w:w="4680" w:type="dxa"/>
          </w:tcPr>
          <w:p>
            <w:pPr/>
            <w:r>
              <w:t xml:space="preserve">Selon grille tarifaire (corridor, tranche)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Frais de message / livraison</w:t>
            </w:r>
          </w:p>
        </w:tc>
        <w:tc>
          <w:tcPr>
            <w:tcW w:w="4680" w:type="dxa"/>
          </w:tcPr>
          <w:p>
            <w:pPr/>
            <w:r>
              <w:t xml:space="preserve">Optionnels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Taxes TTA, TAF, THZUEMOA</w:t>
            </w:r>
          </w:p>
        </w:tc>
        <w:tc>
          <w:tcPr>
            <w:tcW w:w="4680" w:type="dxa"/>
          </w:tcPr>
          <w:p>
            <w:pPr/>
            <w:r>
              <w:t xml:space="preserve">Détail par taxe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taxe</w:t>
            </w:r>
          </w:p>
        </w:tc>
        <w:tc>
          <w:tcPr>
            <w:tcW w:w="4680" w:type="dxa"/>
          </w:tcPr>
          <w:p>
            <w:pPr/>
            <w:r>
              <w:t xml:space="preserve">Somme des taxes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Rabais</w:t>
            </w:r>
          </w:p>
        </w:tc>
        <w:tc>
          <w:tcPr>
            <w:tcW w:w="4680" w:type="dxa"/>
          </w:tcPr>
          <w:p>
            <w:pPr/>
            <w:r>
              <w:t xml:space="preserve">Optionnel, plafonné aux frais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(monnaie d'envoi)</w:t>
            </w:r>
          </w:p>
        </w:tc>
        <w:tc>
          <w:tcPr>
            <w:tcW w:w="4680" w:type="dxa"/>
          </w:tcPr>
          <w:p>
            <w:pPr/>
            <w:r>
              <w:t xml:space="preserve">Montant payé par l'expéditeur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Taux de change</w:t>
            </w:r>
          </w:p>
        </w:tc>
        <w:tc>
          <w:tcPr>
            <w:tcW w:w="4680" w:type="dxa"/>
          </w:tcPr>
          <w:p>
            <w:pPr/>
            <w:r>
              <w:t xml:space="preserve">Figé à la création de l'envoi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Montant à payer (monnaie de réception)</w:t>
            </w:r>
          </w:p>
        </w:tc>
        <w:tc>
          <w:tcPr>
            <w:tcW w:w="4680" w:type="dxa"/>
          </w:tcPr>
          <w:p>
            <w:pPr/>
            <w:r>
              <w:t xml:space="preserve">Montant remis au bénéficiaire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Statut (ajout)</w:t>
            </w:r>
          </w:p>
        </w:tc>
        <w:tc>
          <w:tcPr>
            <w:tcW w:w="4680" w:type="dxa"/>
          </w:tcPr>
          <w:p>
            <w:pPr/>
            <w:r>
              <w:t xml:space="preserve">Créé, En attente conformité, Disponible, Payé, Annulé, Remboursé, Bloqué</w:t>
            </w:r>
          </w:p>
        </w:tc>
      </w:tr>
    </w:tbl>
    <w:p>
      <w:pPr>
        <w:pStyle w:val="Heading3"/>
      </w:pPr>
      <w:r>
        <w:t xml:space="preserve">3.4 Entités complémentaires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Agence</w:t>
      </w:r>
      <w:r>
        <w:t xml:space="preserve"> : code, nom, adresse, ville, pays, statut, type (propre / sous-agent), plafonds, compte float.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Utilisateur</w:t>
      </w:r>
      <w:r>
        <w:t xml:space="preserve"> : identifiants, rôle, agence, MFA, statut.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Wallet</w:t>
      </w:r>
      <w:r>
        <w:t xml:space="preserve"> : client, devise (XOF), solde, solde bloqué, plafonds selon niveau KYC, statut.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Opération wallet</w:t>
      </w:r>
      <w:r>
        <w:t xml:space="preserve"> : type (cash-in, cash-out, P2P, réception de transfert), montant, frais, QR Code / jeton, statut.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Écriture comptable</w:t>
      </w:r>
      <w:r>
        <w:t xml:space="preserve"> : grand livre en partie double (débit/crédit) — source de vérité de tous les soldes.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Paramétrage</w:t>
      </w:r>
      <w:r>
        <w:t xml:space="preserve"> : pays, régions, villes, devises, corridors, grilles de frais, taux de taxes, taux de change, plafonds.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Alerte AML / Dossier KYC / Journal d'audit</w:t>
      </w:r>
      <w:r>
        <w:t xml:space="preserve">.</w:t>
      </w:r>
    </w:p>
    <w:p>
      <w:pPr>
        <w:pStyle w:val="Heading2"/>
      </w:pPr>
      <w:r>
        <w:t xml:space="preserve">4. Règles de calcul : frais, taxes et change</w:t>
      </w:r>
    </w:p>
    <w:p>
      <w:pPr/>
      <w:r>
        <w:t xml:space="preserve">Tous les taux, barèmes et plafonds sont paramétrables par l'administrateur, versionnés avec une date d'effet, et figés sur chaque transaction au moment de sa création.</w:t>
      </w:r>
    </w:p>
    <w:p>
      <w:pPr>
        <w:pStyle w:val="Heading3"/>
      </w:pPr>
      <w:r>
        <w:t xml:space="preserve">4.1 Frais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Frais de transfert</w:t>
      </w:r>
      <w:r>
        <w:t xml:space="preserve"> : grille par corridor (pays d'envoi → pays de réception) et par tranche de montant ; valeur fixe ou pourcentage, avec minimum et maximum.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Frais de message</w:t>
      </w:r>
      <w:r>
        <w:t xml:space="preserve"> et </w:t>
      </w:r>
      <w:r>
        <w:rPr>
          <w:b/>
        </w:rPr>
        <w:t xml:space="preserve">frais de livraison</w:t>
      </w:r>
      <w:r>
        <w:t xml:space="preserve"> : montants fixes paramétrables, appliqués seulement si l'option est choisie.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Rabais</w:t>
      </w:r>
      <w:r>
        <w:t xml:space="preserve"> : remise sur les frais (code promo ou décision du superviseur), jamais supérieure au total des frais.</w:t>
      </w:r>
    </w:p>
    <w:p>
      <w:pPr>
        <w:pStyle w:val="Heading3"/>
      </w:pPr>
      <w:r>
        <w:t xml:space="preserve">4.2 Taxes (Sénégal)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Taxe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Base (hypothèse)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Taux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Plafond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Application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TTA — Taxe sur les Transferts d'Argent</w:t>
            </w:r>
          </w:p>
        </w:tc>
        <w:tc>
          <w:tcPr>
            <w:tcW w:w="1872" w:type="dxa"/>
          </w:tcPr>
          <w:p>
            <w:pPr/>
            <w:r>
              <w:t xml:space="preserve">Montant envoyé</w:t>
            </w:r>
          </w:p>
        </w:tc>
        <w:tc>
          <w:tcPr>
            <w:tcW w:w="1872" w:type="dxa"/>
          </w:tcPr>
          <w:p>
            <w:pPr/>
            <w:r>
              <w:t xml:space="preserve">0,5 %</w:t>
            </w:r>
          </w:p>
        </w:tc>
        <w:tc>
          <w:tcPr>
            <w:tcW w:w="1872" w:type="dxa"/>
          </w:tcPr>
          <w:p>
            <w:pPr/>
            <w:r>
              <w:t xml:space="preserve">2 000 XOF par opération</w:t>
            </w:r>
          </w:p>
        </w:tc>
        <w:tc>
          <w:tcPr>
            <w:tcW w:w="1872" w:type="dxa"/>
          </w:tcPr>
          <w:p>
            <w:pPr/>
            <w:r>
              <w:t xml:space="preserve">Envoi et retrait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TAF — Taxe sur les Activités Financières</w:t>
            </w:r>
          </w:p>
        </w:tc>
        <w:tc>
          <w:tcPr>
            <w:tcW w:w="1872" w:type="dxa"/>
          </w:tcPr>
          <w:p>
            <w:pPr/>
            <w:r>
              <w:t xml:space="preserve">Frais facturés (commissions)</w:t>
            </w:r>
          </w:p>
        </w:tc>
        <w:tc>
          <w:tcPr>
            <w:tcW w:w="1872" w:type="dxa"/>
          </w:tcPr>
          <w:p>
            <w:pPr/>
            <w:r>
              <w:t xml:space="preserve">17 %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Envoi et retrait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THZUEMOA — Taxe Hors Zone UEMOA</w:t>
            </w:r>
          </w:p>
        </w:tc>
        <w:tc>
          <w:tcPr>
            <w:tcW w:w="1872" w:type="dxa"/>
          </w:tcPr>
          <w:p>
            <w:pPr/>
            <w:r>
              <w:t xml:space="preserve">Montant envoyé</w:t>
            </w:r>
          </w:p>
        </w:tc>
        <w:tc>
          <w:tcPr>
            <w:tcW w:w="1872" w:type="dxa"/>
          </w:tcPr>
          <w:p>
            <w:pPr/>
            <w:r>
              <w:t xml:space="preserve">À paramétrer</w:t>
            </w:r>
          </w:p>
        </w:tc>
        <w:tc>
          <w:tcPr>
            <w:tcW w:w="1872" w:type="dxa"/>
          </w:tcPr>
          <w:p>
            <w:pPr/>
            <w:r>
              <w:t xml:space="preserve">À paramétrer</w:t>
            </w:r>
          </w:p>
        </w:tc>
        <w:tc>
          <w:tcPr>
            <w:tcW w:w="1872" w:type="dxa"/>
          </w:tcPr>
          <w:p>
            <w:pPr/>
            <w:r>
              <w:t xml:space="preserve">Flux dont l'origine ou la destination est hors UEMOA</w:t>
            </w:r>
          </w:p>
        </w:tc>
      </w:tr>
    </w:tbl>
    <w:p>
      <w:pPr>
        <w:pStyle w:val="Heading3"/>
      </w:pPr>
      <w:r>
        <w:t xml:space="preserve">4.3 Formules</w:t>
      </w:r>
    </w:p>
    <w:p>
      <w:pPr>
        <w:pStyle w:val="Code"/>
      </w:pPr>
      <w:bookmarkStart w:id="1" w:name="bongo_lang_latex_1"/>
      <w:bookmarkEnd w:id="1"/>
      <w:r>
        <w:t xml:space="preserve">\text{Frais} = F_{transfert} + F_{message} + F_{livraison}</w:t>
      </w:r>
    </w:p>
    <w:p/>
    <w:p>
      <w:pPr>
        <w:pStyle w:val="Code"/>
      </w:pPr>
      <w:bookmarkStart w:id="2" w:name="bongo_lang_latex_2"/>
      <w:bookmarkEnd w:id="2"/>
      <w:r>
        <w:t xml:space="preserve">TTA = \min(0{,}005 \times M_{envoy\acute{e}},\ 2000)</w:t>
      </w:r>
    </w:p>
    <w:p/>
    <w:p>
      <w:pPr>
        <w:pStyle w:val="Code"/>
      </w:pPr>
      <w:bookmarkStart w:id="3" w:name="bongo_lang_latex_3"/>
      <w:bookmarkEnd w:id="3"/>
      <w:r>
        <w:t xml:space="preserve">TAF = 0{,}17 \times (\text{Frais} - \text{Rabais})</w:t>
      </w:r>
    </w:p>
    <w:p/>
    <w:p>
      <w:pPr>
        <w:pStyle w:val="Code"/>
      </w:pPr>
      <w:bookmarkStart w:id="4" w:name="bongo_lang_latex_4"/>
      <w:bookmarkEnd w:id="4"/>
      <w:r>
        <w:t xml:space="preserve">\text{Total} = M_{envoy\acute{e}} + \text{Frais} - \text{Rabais} + TTA + TAF + THZUEMOA</w:t>
      </w:r>
    </w:p>
    <w:p/>
    <w:p>
      <w:pPr>
        <w:pStyle w:val="Code"/>
      </w:pPr>
      <w:bookmarkStart w:id="5" w:name="bongo_lang_latex_5"/>
      <w:bookmarkEnd w:id="5"/>
      <w:r>
        <w:t xml:space="preserve">M_{\grave{a}\ payer} = M_{envoy\acute{e}} \times \text{Taux de change}</w:t>
      </w:r>
    </w:p>
    <w:p>
      <w:pPr/>
      <w:r>
        <w:t xml:space="preserve">Arrondis : montants en XOF arrondis à l'unité (pas de centimes) ; règle d'arrondi par devise paramétrable. Les calculs utilisent des décimaux exacts, jamais des flottants.</w:t>
      </w:r>
    </w:p>
    <w:p>
      <w:pPr>
        <w:pStyle w:val="Heading3"/>
      </w:pPr>
      <w:r>
        <w:t xml:space="preserve">4.4 Taux de change</w:t>
      </w:r>
    </w:p>
    <w:p>
      <w:pPr>
        <w:pStyle w:val="ListParagraph"/>
        <w:numPr>
          <w:ilvl w:val="0"/>
          <w:numId w:val="5"/>
        </w:numPr>
      </w:pPr>
      <w:r>
        <w:t xml:space="preserve">Taux de référence saisi ou importé par l'admin, avec une marge commerciale par corridor.</w:t>
      </w:r>
    </w:p>
    <w:p>
      <w:pPr>
        <w:pStyle w:val="ListParagraph"/>
        <w:numPr>
          <w:ilvl w:val="0"/>
          <w:numId w:val="5"/>
        </w:numPr>
      </w:pPr>
      <w:r>
        <w:t xml:space="preserve">XOF ↔ EUR : parité fixe (655,957 XOF pour 1 EUR) ; XOF ↔ XOF (UEMOA) : taux 1.</w:t>
      </w:r>
    </w:p>
    <w:p>
      <w:pPr>
        <w:pStyle w:val="ListParagraph"/>
        <w:numPr>
          <w:ilvl w:val="0"/>
          <w:numId w:val="5"/>
        </w:numPr>
      </w:pPr>
      <w:r>
        <w:t xml:space="preserve">Le taux affiché au devis est garanti jusqu'à validation de l'envoi (durée de validité paramétrable).</w:t>
      </w:r>
    </w:p>
    <w:p>
      <w:pPr>
        <w:pStyle w:val="Heading3"/>
      </w:pPr>
      <w:r>
        <w:t xml:space="preserve">4.5 Exemple — Sénégal → Mali (zone UEMOA)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Ligne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Montant (XOF)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Montant envoyé</w:t>
            </w:r>
          </w:p>
        </w:tc>
        <w:tc>
          <w:tcPr>
            <w:tcW w:w="4680" w:type="dxa"/>
          </w:tcPr>
          <w:p>
            <w:pPr/>
            <w:r>
              <w:t xml:space="preserve">100 000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Frais de transfert</w:t>
            </w:r>
          </w:p>
        </w:tc>
        <w:tc>
          <w:tcPr>
            <w:tcW w:w="4680" w:type="dxa"/>
          </w:tcPr>
          <w:p>
            <w:pPr/>
            <w:r>
              <w:t xml:space="preserve">3 000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Frais de message</w:t>
            </w:r>
          </w:p>
        </w:tc>
        <w:tc>
          <w:tcPr>
            <w:tcW w:w="4680" w:type="dxa"/>
          </w:tcPr>
          <w:p>
            <w:pPr/>
            <w:r>
              <w:t xml:space="preserve">200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TTA (0,5 % × 100 000)</w:t>
            </w:r>
          </w:p>
        </w:tc>
        <w:tc>
          <w:tcPr>
            <w:tcW w:w="4680" w:type="dxa"/>
          </w:tcPr>
          <w:p>
            <w:pPr/>
            <w:r>
              <w:t xml:space="preserve">500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TAF (17 % × 3 200)</w:t>
            </w:r>
          </w:p>
        </w:tc>
        <w:tc>
          <w:tcPr>
            <w:tcW w:w="4680" w:type="dxa"/>
          </w:tcPr>
          <w:p>
            <w:pPr/>
            <w:r>
              <w:t xml:space="preserve">544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THZUEMOA</w:t>
            </w:r>
          </w:p>
        </w:tc>
        <w:tc>
          <w:tcPr>
            <w:tcW w:w="4680" w:type="dxa"/>
          </w:tcPr>
          <w:p>
            <w:pPr/>
            <w:r>
              <w:t xml:space="preserve">0 (corridor intra-UEMOA)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taxe</w:t>
            </w:r>
          </w:p>
        </w:tc>
        <w:tc>
          <w:tcPr>
            <w:tcW w:w="4680" w:type="dxa"/>
          </w:tcPr>
          <w:p>
            <w:pPr/>
            <w:r>
              <w:t xml:space="preserve">1 044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Total payé par l'expéditeur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104 244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Montant à payer au bénéficiaire (taux 1)</w:t>
            </w:r>
          </w:p>
        </w:tc>
        <w:tc>
          <w:tcPr>
            <w:tcW w:w="4680" w:type="dxa"/>
          </w:tcPr>
          <w:p>
            <w:pPr/>
            <w:r>
              <w:t xml:space="preserve">100 000</w:t>
            </w:r>
          </w:p>
        </w:tc>
      </w:tr>
    </w:tbl>
    <w:p>
      <w:pPr/>
      <w:r>
        <w:t xml:space="preserve">Les montants de frais de l'exemple sont illustratifs.</w:t>
      </w:r>
    </w:p>
    <w:p>
      <w:pPr>
        <w:pStyle w:val="Heading2"/>
      </w:pPr>
      <w:r>
        <w:t xml:space="preserve">5. Exigences fonctionnelles — Web</w:t>
      </w:r>
    </w:p>
    <w:p>
      <w:pPr/>
      <w:r>
        <w:t xml:space="preserve">Identifiants : ADM = Administration, SUP = Support, AGW = Agence Web. Priorité M = indispensable V1, S = souhaitable V1, C = V2.</w:t>
      </w:r>
    </w:p>
    <w:p>
      <w:pPr>
        <w:pStyle w:val="Heading3"/>
      </w:pPr>
      <w:r>
        <w:t xml:space="preserve">5.1 Back-office Administrateur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ADM-01</w:t>
            </w:r>
          </w:p>
        </w:tc>
        <w:tc>
          <w:tcPr>
            <w:tcW w:w="3120" w:type="dxa"/>
          </w:tcPr>
          <w:p>
            <w:pPr/>
            <w:r>
              <w:t xml:space="preserve">Créer, modifier, suspendre, clôturer une agence (coordonnées, type, plafonds journaliers/mensuels, horaires)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ADM-02</w:t>
            </w:r>
          </w:p>
        </w:tc>
        <w:tc>
          <w:tcPr>
            <w:tcW w:w="3120" w:type="dxa"/>
          </w:tcPr>
          <w:p>
            <w:pPr/>
            <w:r>
              <w:t xml:space="preserve">Gérer les utilisateurs internes et leurs rôles ; MFA obligatoire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ADM-03</w:t>
            </w:r>
          </w:p>
        </w:tc>
        <w:tc>
          <w:tcPr>
            <w:tcW w:w="3120" w:type="dxa"/>
          </w:tcPr>
          <w:p>
            <w:pPr/>
            <w:r>
              <w:t xml:space="preserve">Paramétrer pays d'envoi/réception, régions, villes, devises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ADM-04</w:t>
            </w:r>
          </w:p>
        </w:tc>
        <w:tc>
          <w:tcPr>
            <w:tcW w:w="3120" w:type="dxa"/>
          </w:tcPr>
          <w:p>
            <w:pPr/>
            <w:r>
              <w:t xml:space="preserve">Paramétrer les corridors et grilles de frais (tranches, fixe/%, min/max, date d'effet)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ADM-05</w:t>
            </w:r>
          </w:p>
        </w:tc>
        <w:tc>
          <w:tcPr>
            <w:tcW w:w="3120" w:type="dxa"/>
          </w:tcPr>
          <w:p>
            <w:pPr/>
            <w:r>
              <w:t xml:space="preserve">Paramétrer les taux de taxes (TTA, TAF, THZUEMOA) et leurs plafonds, avec historique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ADM-06</w:t>
            </w:r>
          </w:p>
        </w:tc>
        <w:tc>
          <w:tcPr>
            <w:tcW w:w="3120" w:type="dxa"/>
          </w:tcPr>
          <w:p>
            <w:pPr/>
            <w:r>
              <w:t xml:space="preserve">Gérer les taux de change et marges par corridor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ADM-07</w:t>
            </w:r>
          </w:p>
        </w:tc>
        <w:tc>
          <w:tcPr>
            <w:tcW w:w="3120" w:type="dxa"/>
          </w:tcPr>
          <w:p>
            <w:pPr/>
            <w:r>
              <w:t xml:space="preserve">Approvisionner et suivre le float des agences (demandes, validations, soldes)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ADM-08</w:t>
            </w:r>
          </w:p>
        </w:tc>
        <w:tc>
          <w:tcPr>
            <w:tcW w:w="3120" w:type="dxa"/>
          </w:tcPr>
          <w:p>
            <w:pPr/>
            <w:r>
              <w:t xml:space="preserve">Plafonds wallet par niveau KYC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ADM-09</w:t>
            </w:r>
          </w:p>
        </w:tc>
        <w:tc>
          <w:tcPr>
            <w:tcW w:w="3120" w:type="dxa"/>
          </w:tcPr>
          <w:p>
            <w:pPr/>
            <w:r>
              <w:t xml:space="preserve">Tableau de bord global : volumes, montants, frais, taxes collectées, top agences/corridors, évolution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ADM-10</w:t>
            </w:r>
          </w:p>
        </w:tc>
        <w:tc>
          <w:tcPr>
            <w:tcW w:w="3120" w:type="dxa"/>
          </w:tcPr>
          <w:p>
            <w:pPr/>
            <w:r>
              <w:t xml:space="preserve">Rapports exportables (CSV/Excel/PDF), dont état des taxes à reverser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ADM-11</w:t>
            </w:r>
          </w:p>
        </w:tc>
        <w:tc>
          <w:tcPr>
            <w:tcW w:w="3120" w:type="dxa"/>
          </w:tcPr>
          <w:p>
            <w:pPr/>
            <w:r>
              <w:t xml:space="preserve">Principe des quatre yeux pour les changements sensibles (taux, frais, plafonds)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ADM-12</w:t>
            </w:r>
          </w:p>
        </w:tc>
        <w:tc>
          <w:tcPr>
            <w:tcW w:w="3120" w:type="dxa"/>
          </w:tcPr>
          <w:p>
            <w:pPr/>
            <w:r>
              <w:t xml:space="preserve">Gestion des campagnes de rabais / codes promo</w:t>
            </w:r>
          </w:p>
        </w:tc>
        <w:tc>
          <w:tcPr>
            <w:tcW w:w="312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5.2 Support client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SUP-01</w:t>
            </w:r>
          </w:p>
        </w:tc>
        <w:tc>
          <w:tcPr>
            <w:tcW w:w="3120" w:type="dxa"/>
          </w:tcPr>
          <w:p>
            <w:pPr/>
            <w:r>
              <w:t xml:space="preserve">Rechercher une transaction par code, téléphone, nom, agence, date, montant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SUP-02</w:t>
            </w:r>
          </w:p>
        </w:tc>
        <w:tc>
          <w:tcPr>
            <w:tcW w:w="3120" w:type="dxa"/>
          </w:tcPr>
          <w:p>
            <w:pPr/>
            <w:r>
              <w:t xml:space="preserve">Consulter le détail complet et l'historique des statuts (chronologie, agents, écritures)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SUP-03</w:t>
            </w:r>
          </w:p>
        </w:tc>
        <w:tc>
          <w:tcPr>
            <w:tcW w:w="3120" w:type="dxa"/>
          </w:tcPr>
          <w:p>
            <w:pPr/>
            <w:r>
              <w:t xml:space="preserve">Données personnelles masquées par défaut ; démasquage journalisé et motivé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SUP-04</w:t>
            </w:r>
          </w:p>
        </w:tc>
        <w:tc>
          <w:tcPr>
            <w:tcW w:w="3120" w:type="dxa"/>
          </w:tcPr>
          <w:p>
            <w:pPr/>
            <w:r>
              <w:t xml:space="preserve">Renvoyer le SMS du code au bénéficiaire / à l'expéditeur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SUP-05</w:t>
            </w:r>
          </w:p>
        </w:tc>
        <w:tc>
          <w:tcPr>
            <w:tcW w:w="3120" w:type="dxa"/>
          </w:tcPr>
          <w:p>
            <w:pPr/>
            <w:r>
              <w:t xml:space="preserve">Ouvrir un ticket, demander une annulation ou un remboursement (validé par un superviseur)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SUP-06</w:t>
            </w:r>
          </w:p>
        </w:tc>
        <w:tc>
          <w:tcPr>
            <w:tcW w:w="3120" w:type="dxa"/>
          </w:tcPr>
          <w:p>
            <w:pPr/>
            <w:r>
              <w:t xml:space="preserve">Consulter un wallet client : solde, opérations, statut KYC (lecture seule)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5.3 Portail Agence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AGW-01</w:t>
            </w:r>
          </w:p>
        </w:tc>
        <w:tc>
          <w:tcPr>
            <w:tcW w:w="3120" w:type="dxa"/>
          </w:tcPr>
          <w:p>
            <w:pPr/>
            <w:r>
              <w:t xml:space="preserve">Rechercher ou créer un expéditeur (KYC au guichet, scan de pièce)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AGW-02</w:t>
            </w:r>
          </w:p>
        </w:tc>
        <w:tc>
          <w:tcPr>
            <w:tcW w:w="3120" w:type="dxa"/>
          </w:tcPr>
          <w:p>
            <w:pPr/>
            <w:r>
              <w:t xml:space="preserve">Simuler un envoi (devis : frais, taxes, taux, montant à payer)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AGW-03</w:t>
            </w:r>
          </w:p>
        </w:tc>
        <w:tc>
          <w:tcPr>
            <w:tcW w:w="3120" w:type="dxa"/>
          </w:tcPr>
          <w:p>
            <w:pPr/>
            <w:r>
              <w:t xml:space="preserve">Créer l'envoi, encaisser, générer le code et imprimer le reçu ; SMS aux deux parties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AGW-04</w:t>
            </w:r>
          </w:p>
        </w:tc>
        <w:tc>
          <w:tcPr>
            <w:tcW w:w="3120" w:type="dxa"/>
          </w:tcPr>
          <w:p>
            <w:pPr/>
            <w:r>
              <w:t xml:space="preserve">Payer un transfert : saisie du code, contrôle de la question test, KYC du bénéficiaire, reçu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AGW-05</w:t>
            </w:r>
          </w:p>
        </w:tc>
        <w:tc>
          <w:tcPr>
            <w:tcW w:w="3120" w:type="dxa"/>
          </w:tcPr>
          <w:p>
            <w:pPr/>
            <w:r>
              <w:t xml:space="preserve">Annulation avant paiement (même jour, par superviseur) et remboursement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AGW-06</w:t>
            </w:r>
          </w:p>
        </w:tc>
        <w:tc>
          <w:tcPr>
            <w:tcW w:w="3120" w:type="dxa"/>
          </w:tcPr>
          <w:p>
            <w:pPr/>
            <w:r>
              <w:t xml:space="preserve">Gestion de caisse : ouverture, mouvements, clôture, écart de caisse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AGW-07</w:t>
            </w:r>
          </w:p>
        </w:tc>
        <w:tc>
          <w:tcPr>
            <w:tcW w:w="3120" w:type="dxa"/>
          </w:tcPr>
          <w:p>
            <w:pPr/>
            <w:r>
              <w:t xml:space="preserve">Tableaux de bord journalier, hebdomadaire, mensuel, annuel : nombre et montant des envois/paiements, frais, commissions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AGW-08</w:t>
            </w:r>
          </w:p>
        </w:tc>
        <w:tc>
          <w:tcPr>
            <w:tcW w:w="3120" w:type="dxa"/>
          </w:tcPr>
          <w:p>
            <w:pPr/>
            <w:r>
              <w:t xml:space="preserve">Consultation du float et demande de réapprovisionnement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AGW-09</w:t>
            </w:r>
          </w:p>
        </w:tc>
        <w:tc>
          <w:tcPr>
            <w:tcW w:w="3120" w:type="dxa"/>
          </w:tcPr>
          <w:p>
            <w:pPr/>
            <w:r>
              <w:t xml:space="preserve">Commissions agent/agence calculées automatiquement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6. Exigences fonctionnelles — Mobile</w:t>
      </w:r>
    </w:p>
    <w:p>
      <w:pPr>
        <w:pStyle w:val="Heading3"/>
      </w:pPr>
      <w:r>
        <w:t xml:space="preserve">6.1 App mobile Agence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MAG-01</w:t>
            </w:r>
          </w:p>
        </w:tc>
        <w:tc>
          <w:tcPr>
            <w:tcW w:w="3120" w:type="dxa"/>
          </w:tcPr>
          <w:p>
            <w:pPr/>
            <w:r>
              <w:t xml:space="preserve">Connexion agent (identifiant + PIN + appareil enrôlé), session courte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MAG-02</w:t>
            </w:r>
          </w:p>
        </w:tc>
        <w:tc>
          <w:tcPr>
            <w:tcW w:w="3120" w:type="dxa"/>
          </w:tcPr>
          <w:p>
            <w:pPr/>
            <w:r>
              <w:t xml:space="preserve">Cash-in : l'agent génère ou scanne un QR Code, le client confirme sur son app, le wallet est crédité contre espèces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MAG-03</w:t>
            </w:r>
          </w:p>
        </w:tc>
        <w:tc>
          <w:tcPr>
            <w:tcW w:w="3120" w:type="dxa"/>
          </w:tcPr>
          <w:p>
            <w:pPr/>
            <w:r>
              <w:t xml:space="preserve">Cash-out : le client génère un QR Code de retrait, l'agent le scanne, contrôle l'identité et remet les espèces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MAG-04</w:t>
            </w:r>
          </w:p>
        </w:tc>
        <w:tc>
          <w:tcPr>
            <w:tcW w:w="3120" w:type="dxa"/>
          </w:tcPr>
          <w:p>
            <w:pPr/>
            <w:r>
              <w:t xml:space="preserve">Solde du float agent visible en temps réel ; blocage si float insuffisant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MAG-05</w:t>
            </w:r>
          </w:p>
        </w:tc>
        <w:tc>
          <w:tcPr>
            <w:tcW w:w="3120" w:type="dxa"/>
          </w:tcPr>
          <w:p>
            <w:pPr/>
            <w:r>
              <w:t xml:space="preserve">Historique des opérations du jour et reçu numérique (SMS/partage)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MAG-06</w:t>
            </w:r>
          </w:p>
        </w:tc>
        <w:tc>
          <w:tcPr>
            <w:tcW w:w="3120" w:type="dxa"/>
          </w:tcPr>
          <w:p>
            <w:pPr/>
            <w:r>
              <w:t xml:space="preserve">Envoi/paiement de transfert depuis le mobile (mêmes règles que AGW)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MAG-07</w:t>
            </w:r>
          </w:p>
        </w:tc>
        <w:tc>
          <w:tcPr>
            <w:tcW w:w="3120" w:type="dxa"/>
          </w:tcPr>
          <w:p>
            <w:pPr/>
            <w:r>
              <w:t xml:space="preserve">Impression Bluetooth sur imprimante thermique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6.2 App mobile Client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MCL-01</w:t>
            </w:r>
          </w:p>
        </w:tc>
        <w:tc>
          <w:tcPr>
            <w:tcW w:w="3120" w:type="dxa"/>
          </w:tcPr>
          <w:p>
            <w:pPr/>
            <w:r>
              <w:t xml:space="preserve">Inscription par téléphone + OTP, création d'un code PIN, biométrie optionnelle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MCL-02</w:t>
            </w:r>
          </w:p>
        </w:tc>
        <w:tc>
          <w:tcPr>
            <w:tcW w:w="3120" w:type="dxa"/>
          </w:tcPr>
          <w:p>
            <w:pPr/>
            <w:r>
              <w:t xml:space="preserve">KYC progressif : niveau 1 (téléphone), niveau 2 (pièce + selfie), niveau 3 (justificatif d'adresse) ; plafonds associés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MCL-03</w:t>
            </w:r>
          </w:p>
        </w:tc>
        <w:tc>
          <w:tcPr>
            <w:tcW w:w="3120" w:type="dxa"/>
          </w:tcPr>
          <w:p>
            <w:pPr/>
            <w:r>
              <w:t xml:space="preserve">Affichage du solde et de l'historique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MCL-04</w:t>
            </w:r>
          </w:p>
        </w:tc>
        <w:tc>
          <w:tcPr>
            <w:tcW w:w="3120" w:type="dxa"/>
          </w:tcPr>
          <w:p>
            <w:pPr/>
            <w:r>
              <w:t xml:space="preserve">Transfert P2P vers un numéro ou un contact, avec frais affichés avant confirmation par PIN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MCL-05</w:t>
            </w:r>
          </w:p>
        </w:tc>
        <w:tc>
          <w:tcPr>
            <w:tcW w:w="3120" w:type="dxa"/>
          </w:tcPr>
          <w:p>
            <w:pPr/>
            <w:r>
              <w:t xml:space="preserve">Cash-in / cash-out en agence via QR Code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MCL-06</w:t>
            </w:r>
          </w:p>
        </w:tc>
        <w:tc>
          <w:tcPr>
            <w:tcW w:w="3120" w:type="dxa"/>
          </w:tcPr>
          <w:p>
            <w:pPr/>
            <w:r>
              <w:t xml:space="preserve">Recevoir un transfert international directement dans le wallet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MCL-07</w:t>
            </w:r>
          </w:p>
        </w:tc>
        <w:tc>
          <w:tcPr>
            <w:tcW w:w="3120" w:type="dxa"/>
          </w:tcPr>
          <w:p>
            <w:pPr/>
            <w:r>
              <w:t xml:space="preserve">Notifications push et SMS de chaque mouvement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MCL-08</w:t>
            </w:r>
          </w:p>
        </w:tc>
        <w:tc>
          <w:tcPr>
            <w:tcW w:w="3120" w:type="dxa"/>
          </w:tcPr>
          <w:p>
            <w:pPr/>
            <w:r>
              <w:t xml:space="preserve">Localisation des agences proches</w:t>
            </w:r>
          </w:p>
        </w:tc>
        <w:tc>
          <w:tcPr>
            <w:tcW w:w="3120" w:type="dxa"/>
          </w:tcPr>
          <w:p>
            <w:pPr/>
            <w:r>
              <w:t xml:space="preserve">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MCL-09</w:t>
            </w:r>
          </w:p>
        </w:tc>
        <w:tc>
          <w:tcPr>
            <w:tcW w:w="3120" w:type="dxa"/>
          </w:tcPr>
          <w:p>
            <w:pPr/>
            <w:r>
              <w:t xml:space="preserve">Interface en français (wolof et anglais en V2)</w:t>
            </w:r>
          </w:p>
        </w:tc>
        <w:tc>
          <w:tcPr>
            <w:tcW w:w="312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6.3 Séquence QR Code — cash-out</w:t>
      </w:r>
    </w:p>
    <w:p>
      <w:pPr>
        <w:pStyle w:val="ListParagraph"/>
        <w:numPr>
          <w:ilvl w:val="0"/>
          <w:numId w:val="6"/>
        </w:numPr>
      </w:pPr>
      <w:r>
        <w:t xml:space="preserve">Le client saisit le montant dans son app ; le serveur crée une demande et renvoie un QR Code signé (jeton à usage unique, validité 5 minutes).</w:t>
      </w:r>
    </w:p>
    <w:p>
      <w:pPr>
        <w:pStyle w:val="ListParagraph"/>
        <w:numPr>
          <w:ilvl w:val="0"/>
          <w:numId w:val="6"/>
        </w:numPr>
      </w:pPr>
      <w:r>
        <w:t xml:space="preserve">L'agent scanne le QR Code ; le serveur vérifie signature, expiration, plafonds, solde du client et statut AML.</w:t>
      </w:r>
    </w:p>
    <w:p>
      <w:pPr>
        <w:pStyle w:val="ListParagraph"/>
        <w:numPr>
          <w:ilvl w:val="0"/>
          <w:numId w:val="6"/>
        </w:numPr>
      </w:pPr>
      <w:r>
        <w:t xml:space="preserve">L'agent voit nom, montant et frais, contrôle la pièce si le montant dépasse le seuil, puis valide.</w:t>
      </w:r>
    </w:p>
    <w:p>
      <w:pPr>
        <w:pStyle w:val="ListParagraph"/>
        <w:numPr>
          <w:ilvl w:val="0"/>
          <w:numId w:val="6"/>
        </w:numPr>
      </w:pPr>
      <w:r>
        <w:t xml:space="preserve">Le client confirme avec son PIN ; le serveur passe les écritures (débit wallet client, crédit float agent) en une seule transaction.</w:t>
      </w:r>
    </w:p>
    <w:p>
      <w:pPr>
        <w:pStyle w:val="ListParagraph"/>
        <w:numPr>
          <w:ilvl w:val="0"/>
          <w:numId w:val="6"/>
        </w:numPr>
      </w:pPr>
      <w:r>
        <w:t xml:space="preserve">Les deux apps affichent le reçu ; l'agent remet les espèces.</w:t>
      </w:r>
    </w:p>
    <w:p>
      <w:pPr/>
      <w:r>
        <w:t xml:space="preserve">Le cash-in suit la même séquence en sens inverse (crédit wallet, débit float). Le QR Code ne contient jamais de données personnelles ni de montant modifiable, seulement une référence signée.</w:t>
      </w:r>
    </w:p>
    <w:p>
      <w:pPr>
        <w:pStyle w:val="Heading2"/>
      </w:pPr>
      <w:r>
        <w:t xml:space="preserve">7. Conformité réglementaire</w:t>
      </w:r>
    </w:p>
    <w:p>
      <w:pPr/>
      <w:r>
        <w:t xml:space="preserve">La plateforme doit être exploitée sous un agrément BCEAO (émetteur de monnaie électronique ou adossement à un établissement agréé) ; les références ci-dessous sont à valider par un juriste dans leur version en vigueur.</w:t>
      </w:r>
    </w:p>
    <w:p>
      <w:pPr>
        <w:pStyle w:val="Heading3"/>
      </w:pPr>
      <w:r>
        <w:t xml:space="preserve">7.1 Protection des données (RGPD et loi sénégalaise)</w:t>
      </w:r>
    </w:p>
    <w:p>
      <w:pPr>
        <w:pStyle w:val="ListParagraph"/>
        <w:numPr>
          <w:ilvl w:val="0"/>
          <w:numId w:val="7"/>
        </w:numPr>
      </w:pPr>
      <w:r>
        <w:t xml:space="preserve">Loi sénégalaise n° 2008-12 sur les données à caractère personnel : déclaration/autorisation auprès de la CDP avant mise en production.</w:t>
      </w:r>
    </w:p>
    <w:p>
      <w:pPr>
        <w:pStyle w:val="ListParagraph"/>
        <w:numPr>
          <w:ilvl w:val="0"/>
          <w:numId w:val="7"/>
        </w:numPr>
      </w:pPr>
      <w:r>
        <w:t xml:space="preserve">RGPD applicable aux clients résidant dans l'UE (corridors Europe → Afrique).</w:t>
      </w:r>
    </w:p>
    <w:p>
      <w:pPr>
        <w:pStyle w:val="ListParagraph"/>
        <w:numPr>
          <w:ilvl w:val="0"/>
          <w:numId w:val="7"/>
        </w:numPr>
      </w:pPr>
      <w:r>
        <w:t xml:space="preserve">Minimisation, finalités déclarées, consentement explicite pour le marketing, politique de confidentialité dans les apps.</w:t>
      </w:r>
    </w:p>
    <w:p>
      <w:pPr>
        <w:pStyle w:val="ListParagraph"/>
        <w:numPr>
          <w:ilvl w:val="0"/>
          <w:numId w:val="7"/>
        </w:numPr>
      </w:pPr>
      <w:r>
        <w:t xml:space="preserve">Droits des personnes (accès, rectification, opposition) via un formulaire et un circuit back-office ; l'effacement est limité par l'obligation de conservation LBC/FT.</w:t>
      </w:r>
    </w:p>
    <w:p>
      <w:pPr>
        <w:pStyle w:val="ListParagraph"/>
        <w:numPr>
          <w:ilvl w:val="0"/>
          <w:numId w:val="7"/>
        </w:numPr>
      </w:pPr>
      <w:r>
        <w:t xml:space="preserve">Chiffrement des données sensibles au repos (pièces d'identité, documents KYC) et en transit (TLS 1.2+).</w:t>
      </w:r>
    </w:p>
    <w:p>
      <w:pPr>
        <w:pStyle w:val="ListParagraph"/>
        <w:numPr>
          <w:ilvl w:val="0"/>
          <w:numId w:val="7"/>
        </w:numPr>
      </w:pPr>
      <w:r>
        <w:t xml:space="preserve">Registre des traitements, analyse d'impact (AIPD), notification des violations.</w:t>
      </w:r>
    </w:p>
    <w:p>
      <w:pPr>
        <w:pStyle w:val="ListParagraph"/>
        <w:numPr>
          <w:ilvl w:val="0"/>
          <w:numId w:val="7"/>
        </w:numPr>
      </w:pPr>
      <w:r>
        <w:t xml:space="preserve">Encadrement des transferts de données hors Sénégal (choix de l'hébergement, voir section 10).</w:t>
      </w:r>
    </w:p>
    <w:p>
      <w:pPr>
        <w:pStyle w:val="Heading3"/>
      </w:pPr>
      <w:r>
        <w:t xml:space="preserve">7.2 AML/KYC (LBC/FT)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Exigence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Mise en œuvre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Identification des clients</w:t>
            </w:r>
          </w:p>
        </w:tc>
        <w:tc>
          <w:tcPr>
            <w:tcW w:w="4680" w:type="dxa"/>
          </w:tcPr>
          <w:p>
            <w:pPr/>
            <w:r>
              <w:t xml:space="preserve">KYC au guichet et KYC mobile progressif ; vérification de la validité de la pièce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Filtrage sanctions et PEP</w:t>
            </w:r>
          </w:p>
        </w:tc>
        <w:tc>
          <w:tcPr>
            <w:tcW w:w="4680" w:type="dxa"/>
          </w:tcPr>
          <w:p>
            <w:pPr/>
            <w:r>
              <w:t xml:space="preserve">Contrôle de l'expéditeur et du bénéficiaire à chaque opération (listes ONU, UE, OFAC, nationales) ; blocage en cas de correspondance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Seuils et plafonds</w:t>
            </w:r>
          </w:p>
        </w:tc>
        <w:tc>
          <w:tcPr>
            <w:tcW w:w="4680" w:type="dxa"/>
          </w:tcPr>
          <w:p>
            <w:pPr/>
            <w:r>
              <w:t xml:space="preserve">Plafonds par opération, jour et mois, par niveau KYC et par agence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Surveillance des transactions</w:t>
            </w:r>
          </w:p>
        </w:tc>
        <w:tc>
          <w:tcPr>
            <w:tcW w:w="4680" w:type="dxa"/>
          </w:tcPr>
          <w:p>
            <w:pPr/>
            <w:r>
              <w:t xml:space="preserve">Règles : fractionnement, fréquence anormale, montants ronds répétés, corridors à risque, bénéficiaires multiples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Gestion des alertes</w:t>
            </w:r>
          </w:p>
        </w:tc>
        <w:tc>
          <w:tcPr>
            <w:tcW w:w="4680" w:type="dxa"/>
          </w:tcPr>
          <w:p>
            <w:pPr/>
            <w:r>
              <w:t xml:space="preserve">File de revue pour le responsable conformité, statut et justification tracés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Déclaration de soupçon</w:t>
            </w:r>
          </w:p>
        </w:tc>
        <w:tc>
          <w:tcPr>
            <w:tcW w:w="4680" w:type="dxa"/>
          </w:tcPr>
          <w:p>
            <w:pPr/>
            <w:r>
              <w:t xml:space="preserve">Export du dossier vers la CENTIF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Conservation</w:t>
            </w:r>
          </w:p>
        </w:tc>
        <w:tc>
          <w:tcPr>
            <w:tcW w:w="4680" w:type="dxa"/>
          </w:tcPr>
          <w:p>
            <w:pPr/>
            <w:r>
              <w:t xml:space="preserve">Données KYC et transactions conservées au moins 10 ans après la fin de la relation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Travel rule</w:t>
            </w:r>
          </w:p>
        </w:tc>
        <w:tc>
          <w:tcPr>
            <w:tcW w:w="4680" w:type="dxa"/>
          </w:tcPr>
          <w:p>
            <w:pPr/>
            <w:r>
              <w:t xml:space="preserve">Données expéditeur/bénéficiaire transmises avec chaque transfert transfrontalier</w:t>
            </w:r>
          </w:p>
        </w:tc>
      </w:tr>
    </w:tbl>
    <w:p>
      <w:pPr>
        <w:pStyle w:val="Heading3"/>
      </w:pPr>
      <w:r>
        <w:t xml:space="preserve">7.3 Autres obligations</w:t>
      </w:r>
    </w:p>
    <w:p>
      <w:pPr>
        <w:pStyle w:val="ListParagraph"/>
        <w:numPr>
          <w:ilvl w:val="0"/>
          <w:numId w:val="8"/>
        </w:numPr>
      </w:pPr>
      <w:r>
        <w:t xml:space="preserve">Reporting périodique à la BCEAO (volumes, encours de monnaie électronique, incidents).</w:t>
      </w:r>
    </w:p>
    <w:p>
      <w:pPr>
        <w:pStyle w:val="ListParagraph"/>
        <w:numPr>
          <w:ilvl w:val="0"/>
          <w:numId w:val="8"/>
        </w:numPr>
      </w:pPr>
      <w:r>
        <w:t xml:space="preserve">Cantonnement : encours des wallets couverts à 100 % par un compte de cantonnement en banque, rapprochement quotidien.</w:t>
      </w:r>
    </w:p>
    <w:p>
      <w:pPr>
        <w:pStyle w:val="ListParagraph"/>
        <w:numPr>
          <w:ilvl w:val="0"/>
          <w:numId w:val="8"/>
        </w:numPr>
      </w:pPr>
      <w:r>
        <w:t xml:space="preserve">Collecte et reversement des taxes TTA/TAF à l'administration fiscale avec un état détaillé.</w:t>
      </w:r>
    </w:p>
    <w:p>
      <w:pPr>
        <w:pStyle w:val="Heading2"/>
      </w:pPr>
      <w:r>
        <w:t xml:space="preserve">8. Exigences non fonctionnelles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Domaine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Exigence cible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Disponibilité</w:t>
            </w:r>
          </w:p>
        </w:tc>
        <w:tc>
          <w:tcPr>
            <w:tcW w:w="4680" w:type="dxa"/>
          </w:tcPr>
          <w:p>
            <w:pPr/>
            <w:r>
              <w:t xml:space="preserve">99,9 % mensuel pour les API de transaction ; maintenance planifiée hors heures d'ouverture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</w:t>
            </w:r>
          </w:p>
        </w:tc>
        <w:tc>
          <w:tcPr>
            <w:tcW w:w="4680" w:type="dxa"/>
          </w:tcPr>
          <w:p>
            <w:pPr/>
            <w:r>
              <w:t xml:space="preserve">Devis &lt; 300 ms, validation d'une transaction &lt; 2 s au 95e centile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Capacité</w:t>
            </w:r>
          </w:p>
        </w:tc>
        <w:tc>
          <w:tcPr>
            <w:tcW w:w="4680" w:type="dxa"/>
          </w:tcPr>
          <w:p>
            <w:pPr/>
            <w:r>
              <w:t xml:space="preserve">50 transactions/s en pointe au lancement, architecture extensible horizontalement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Intégrité</w:t>
            </w:r>
          </w:p>
        </w:tc>
        <w:tc>
          <w:tcPr>
            <w:tcW w:w="4680" w:type="dxa"/>
          </w:tcPr>
          <w:p>
            <w:pPr/>
            <w:r>
              <w:t xml:space="preserve">Grand livre en partie double, transactions ACID, idempotence de toutes les opérations financières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Réseau</w:t>
            </w:r>
          </w:p>
        </w:tc>
        <w:tc>
          <w:tcPr>
            <w:tcW w:w="4680" w:type="dxa"/>
          </w:tcPr>
          <w:p>
            <w:pPr/>
            <w:r>
              <w:t xml:space="preserve">Apps mobiles utilisables en 3G et en connexion instable (reprise, retry idempotent, payloads légers)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Sécurité</w:t>
            </w:r>
          </w:p>
        </w:tc>
        <w:tc>
          <w:tcPr>
            <w:tcW w:w="4680" w:type="dxa"/>
          </w:tcPr>
          <w:p>
            <w:pPr/>
            <w:r>
              <w:t xml:space="preserve">OWASP ASVS niveau 2, MFA pour tout utilisateur interne, tests d'intrusion avant production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Traçabilité</w:t>
            </w:r>
          </w:p>
        </w:tc>
        <w:tc>
          <w:tcPr>
            <w:tcW w:w="4680" w:type="dxa"/>
          </w:tcPr>
          <w:p>
            <w:pPr/>
            <w:r>
              <w:t xml:space="preserve">Journal d'audit inaltérable de toute action (qui, quoi, quand, avant/après)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Sauvegarde</w:t>
            </w:r>
          </w:p>
        </w:tc>
        <w:tc>
          <w:tcPr>
            <w:tcW w:w="4680" w:type="dxa"/>
          </w:tcPr>
          <w:p>
            <w:pPr/>
            <w:r>
              <w:t xml:space="preserve">RPO ≤ 5 min, RTO ≤ 1 h ; sauvegardes chiffrées et testées chaque mois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Compatibilité</w:t>
            </w:r>
          </w:p>
        </w:tc>
        <w:tc>
          <w:tcPr>
            <w:tcW w:w="4680" w:type="dxa"/>
          </w:tcPr>
          <w:p>
            <w:pPr/>
            <w:r>
              <w:t xml:space="preserve">Android 8+, iOS 15+, navigateurs Chrome/Edge/Firefox récents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Ergonomie</w:t>
            </w:r>
          </w:p>
        </w:tc>
        <w:tc>
          <w:tcPr>
            <w:tcW w:w="4680" w:type="dxa"/>
          </w:tcPr>
          <w:p>
            <w:pPr/>
            <w:r>
              <w:t xml:space="preserve">Interface en français, parcours guichet en moins de 2 minutes, accessibilité WCAG AA pour le Web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Exploitabilité</w:t>
            </w:r>
          </w:p>
        </w:tc>
        <w:tc>
          <w:tcPr>
            <w:tcW w:w="4680" w:type="dxa"/>
          </w:tcPr>
          <w:p>
            <w:pPr/>
            <w:r>
              <w:t xml:space="preserve">Supervision, alertes, logs centralisés, tableaux de bord techniques</w:t>
            </w:r>
          </w:p>
        </w:tc>
      </w:tr>
    </w:tbl>
    <w:p>
      <w:pPr>
        <w:pStyle w:val="Heading2"/>
      </w:pPr>
      <w:r>
        <w:t xml:space="preserve">9. Spécifications techniques</w:t>
      </w:r>
    </w:p>
    <w:p>
      <w:pPr/>
      <w:r>
        <w:t xml:space="preserve">L'architecture cible est un backend unique exposé par une passerelle API, organisé en modules métier, dont le grand livre comptable est la seule source de vérité des soldes.</w:t>
      </w:r>
    </w:p>
    <w:p>
      <w:pPr/>
      <w:r>
        <w:drawing>
          <wp:inline distT="0" distB="0" distL="0" distR="0">
            <wp:extent cx="5486400" cy="4498521"/>
            <wp:docPr id="1" name="image1" descr="architecture cible · 4 applications, 6 modu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cible · 4 applications, 6 modu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cible · 4 applications, 6 modules</w:t>
      </w:r>
    </w:p>
    <w:p>
      <w:pPr/>
      <w:r>
        <w:t xml:space="preserve">Les quatre applications n'accèdent jamais à la base directement ; tout mouvement d'argent passe par le module Grand livre dans une transaction de base de données.</w:t>
      </w:r>
    </w:p>
    <w:p>
      <w:pPr>
        <w:pStyle w:val="Heading3"/>
      </w:pPr>
      <w:r>
        <w:t xml:space="preserve">9.1 Principes d'architecture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Grand livre en partie double</w:t>
      </w:r>
      <w:r>
        <w:t xml:space="preserve"> : chaque opération produit des écritures équilibrées (wallet client, float agence, compte de frais, comptes de taxes TTA/TAF/THZUEMOA, compte de transit des transferts). Les soldes sont dérivés des écritures, jamais modifiés à la main.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Idempotence</w:t>
      </w:r>
      <w:r>
        <w:t xml:space="preserve"> : toute requête financière porte un en-tête </w:t>
      </w:r>
      <w:r>
        <w:rPr>
          <w:rStyle w:val="CodeChar"/>
        </w:rPr>
        <w:t xml:space="preserve">Idempotency-Key</w:t>
      </w:r>
      <w:r>
        <w:t xml:space="preserve"> ; un rejeu renvoie le résultat initial sans double débit.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Concurrence</w:t>
      </w:r>
      <w:r>
        <w:t xml:space="preserve"> : verrouillage pessimiste (</w:t>
      </w:r>
      <w:r>
        <w:rPr>
          <w:rStyle w:val="CodeChar"/>
        </w:rPr>
        <w:t xml:space="preserve">SELECT … FOR UPDATE</w:t>
      </w:r>
      <w:r>
        <w:t xml:space="preserve">) sur les comptes débités, ordre de verrouillage déterministe pour éviter les interblocages.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Machine à états</w:t>
      </w:r>
      <w:r>
        <w:t xml:space="preserve"> des transactions : transitions autorisées explicites, chaque transition journalisée.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Outbox transactionnelle</w:t>
      </w:r>
      <w:r>
        <w:t xml:space="preserve"> : les événements (SMS, AML, webhooks) sont écrits dans la même transaction que l'opération puis publiés vers RabbitMQ.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Montants</w:t>
      </w:r>
      <w:r>
        <w:t xml:space="preserve"> en décimal exact (</w:t>
      </w:r>
      <w:r>
        <w:rPr>
          <w:rStyle w:val="CodeChar"/>
        </w:rPr>
        <w:t xml:space="preserve">NUMERIC(19,4)</w:t>
      </w:r>
      <w:r>
        <w:t xml:space="preserve"> en base, </w:t>
      </w:r>
      <w:r>
        <w:rPr>
          <w:rStyle w:val="CodeChar"/>
        </w:rPr>
        <w:t xml:space="preserve">BigDecimal</w:t>
      </w:r>
      <w:r>
        <w:t xml:space="preserve"> en code) avec code devise ISO 4217.</w:t>
      </w:r>
    </w:p>
    <w:p>
      <w:pPr>
        <w:pStyle w:val="Heading3"/>
      </w:pPr>
      <w:r>
        <w:t xml:space="preserve">9.2 API (REST, OpenAPI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Domaine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Exemples d'endpoints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Devis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/v1/quotes</w:t>
            </w:r>
            <w:r>
              <w:t xml:space="preserve"> — frais, taxes, taux, montant à payer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Transferts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/v1/transfers</w:t>
            </w:r>
            <w:r>
              <w:t xml:space="preserve">, </w:t>
            </w:r>
            <w:r>
              <w:rPr>
                <w:rStyle w:val="CodeChar"/>
              </w:rPr>
              <w:t xml:space="preserve">GET /v1/transfers/{code}</w:t>
            </w:r>
            <w:r>
              <w:t xml:space="preserve">, </w:t>
            </w:r>
            <w:r>
              <w:rPr>
                <w:rStyle w:val="CodeChar"/>
              </w:rPr>
              <w:t xml:space="preserve">POST /v1/transfers/{code}/payout</w:t>
            </w:r>
            <w:r>
              <w:t xml:space="preserve">, </w:t>
            </w:r>
            <w:r>
              <w:rPr>
                <w:rStyle w:val="CodeChar"/>
              </w:rPr>
              <w:t xml:space="preserve">POST /v1/transfers/{id}/cancel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Clients / KYC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/v1/customers</w:t>
            </w:r>
            <w:r>
              <w:t xml:space="preserve">, </w:t>
            </w:r>
            <w:r>
              <w:rPr>
                <w:rStyle w:val="CodeChar"/>
              </w:rPr>
              <w:t xml:space="preserve">POST /v1/customers/{id}/kyc-documents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Wallet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/v1/wallets/me</w:t>
            </w:r>
            <w:r>
              <w:t xml:space="preserve">, </w:t>
            </w:r>
            <w:r>
              <w:rPr>
                <w:rStyle w:val="CodeChar"/>
              </w:rPr>
              <w:t xml:space="preserve">POST /v1/wallets/p2p</w:t>
            </w:r>
            <w:r>
              <w:t xml:space="preserve">, </w:t>
            </w:r>
            <w:r>
              <w:rPr>
                <w:rStyle w:val="CodeChar"/>
              </w:rPr>
              <w:t xml:space="preserve">GET /v1/wallets/me/transactions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QR Code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/v1/qr/cash-out</w:t>
            </w:r>
            <w:r>
              <w:t xml:space="preserve">, </w:t>
            </w:r>
            <w:r>
              <w:rPr>
                <w:rStyle w:val="CodeChar"/>
              </w:rPr>
              <w:t xml:space="preserve">POST /v1/qr/{token}/scan</w:t>
            </w:r>
            <w:r>
              <w:t xml:space="preserve">, </w:t>
            </w:r>
            <w:r>
              <w:rPr>
                <w:rStyle w:val="CodeChar"/>
              </w:rPr>
              <w:t xml:space="preserve">POST /v1/qr/{token}/confirm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Agences / caisse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/v1/agencies/{id}/float</w:t>
            </w:r>
            <w:r>
              <w:t xml:space="preserve">, </w:t>
            </w:r>
            <w:r>
              <w:rPr>
                <w:rStyle w:val="CodeChar"/>
              </w:rPr>
              <w:t xml:space="preserve">POST /v1/tills/{id}/close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Paramétrage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/v1/admin/countries</w:t>
            </w:r>
            <w:r>
              <w:t xml:space="preserve">, </w:t>
            </w:r>
            <w:r>
              <w:rPr>
                <w:rStyle w:val="CodeChar"/>
              </w:rPr>
              <w:t xml:space="preserve">/v1/admin/fee-grids</w:t>
            </w:r>
            <w:r>
              <w:t xml:space="preserve">, </w:t>
            </w:r>
            <w:r>
              <w:rPr>
                <w:rStyle w:val="CodeChar"/>
              </w:rPr>
              <w:t xml:space="preserve">/v1/admin/tax-rates</w:t>
            </w:r>
            <w:r>
              <w:t xml:space="preserve">, </w:t>
            </w:r>
            <w:r>
              <w:rPr>
                <w:rStyle w:val="CodeChar"/>
              </w:rPr>
              <w:t xml:space="preserve">/v1/admin/fx-rates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Rapports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/v1/reports/dashboard?period=day|week|month|year</w:t>
            </w:r>
          </w:p>
        </w:tc>
      </w:tr>
    </w:tbl>
    <w:p>
      <w:pPr/>
      <w:r>
        <w:t xml:space="preserve">Conventions : versionnement dans l'URL, pagination par curseur, erreurs au format RFC 7807, horodatages ISO 8601 UTC, webhooks signés HMAC pour les partenaires.</w:t>
      </w:r>
    </w:p>
    <w:p>
      <w:pPr>
        <w:pStyle w:val="Heading3"/>
      </w:pPr>
      <w:r>
        <w:t xml:space="preserve">9.3 Sécurité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Authentification</w:t>
      </w:r>
      <w:r>
        <w:t xml:space="preserve"> : OIDC via Keycloak ; MFA (TOTP) pour tous les utilisateurs internes ; PIN + appareil enrôlé + biométrie optionnelle pour le mobile ; jetons d'accès courts (5–15 min) et rotation des refresh tokens.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Autorisation</w:t>
      </w:r>
      <w:r>
        <w:t xml:space="preserve"> : RBAC + périmètre (un agent ne voit que son agence) contrôlé côté serveur.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Mobile</w:t>
      </w:r>
      <w:r>
        <w:t xml:space="preserve"> : certificate pinning, détection root/jailbreak, obfuscation, pas de données sensibles en clair sur l'appareil, attestation d'appareil (Play Integrity / App Attest).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QR Code</w:t>
      </w:r>
      <w:r>
        <w:t xml:space="preserve"> : jeton aléatoire à usage unique, signé, expirant en 5 minutes, lié à l'émetteur ; confirmation PIN obligatoire.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Données</w:t>
      </w:r>
      <w:r>
        <w:t xml:space="preserve"> : chiffrement au repos (disque + colonnes sensibles), clés dans Vault/KMS, masquage dans les logs, séparation des environnements.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Anti-fraude</w:t>
      </w:r>
      <w:r>
        <w:t xml:space="preserve"> : limitation de débit, blocage après 3 PIN erronés, alertes sur connexions inhabituelles, vélocité par appareil.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Audit</w:t>
      </w:r>
      <w:r>
        <w:t xml:space="preserve"> : journal en ajout seul, horodaté, exporté vers un stockage immuable.</w:t>
      </w:r>
    </w:p>
    <w:p>
      <w:pPr>
        <w:pStyle w:val="Heading3"/>
      </w:pPr>
      <w:r>
        <w:t xml:space="preserve">9.4 Environnements et qualité</w:t>
      </w:r>
    </w:p>
    <w:p>
      <w:pPr>
        <w:pStyle w:val="ListParagraph"/>
        <w:numPr>
          <w:ilvl w:val="0"/>
          <w:numId w:val="11"/>
        </w:numPr>
      </w:pPr>
      <w:r>
        <w:t xml:space="preserve">Environnements : développement, recette, pré-production (données anonymisées), production.</w:t>
      </w:r>
    </w:p>
    <w:p>
      <w:pPr>
        <w:pStyle w:val="ListParagraph"/>
        <w:numPr>
          <w:ilvl w:val="0"/>
          <w:numId w:val="11"/>
        </w:numPr>
      </w:pPr>
      <w:r>
        <w:t xml:space="preserve">Tests : unitaires (couverture ≥ 80 % sur les modules Grand livre et Taxes), intégration (Testcontainers), contrats d'API, end-to-end, charge (k6/Gatling), test d'intrusion externe.</w:t>
      </w:r>
    </w:p>
    <w:p>
      <w:pPr>
        <w:pStyle w:val="Heading2"/>
      </w:pPr>
      <w:r>
        <w:t xml:space="preserve">10. Proposition de stack technologique</w:t>
      </w:r>
    </w:p>
    <w:p>
      <w:pPr/>
      <w:r>
        <w:t xml:space="preserve">Recommandation : un backend JVM (Spring Boot) sur PostgreSQL, un front Web React, et une seule base de code mobile Flutter pour les deux apps — robuste pour la finance, cohérent avec une équipe déjà à l'aise sur la JVM et PostgreSQL.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Choix recommandé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Pourquoi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Alternative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Backend / API</w:t>
            </w:r>
          </w:p>
        </w:tc>
        <w:tc>
          <w:tcPr>
            <w:tcW w:w="2340" w:type="dxa"/>
          </w:tcPr>
          <w:p>
            <w:pPr/>
            <w:r>
              <w:t xml:space="preserve">Java 21 + Spring Boot 3 (monolithe modulaire, Spring Modulith)</w:t>
            </w:r>
          </w:p>
        </w:tc>
        <w:tc>
          <w:tcPr>
            <w:tcW w:w="2340" w:type="dxa"/>
          </w:tcPr>
          <w:p>
            <w:pPr/>
            <w:r>
              <w:t xml:space="preserve">Transactions ACID, </w:t>
            </w:r>
            <w:r>
              <w:rPr>
                <w:rStyle w:val="CodeChar"/>
              </w:rPr>
              <w:t xml:space="preserve">BigDecimal</w:t>
            </w:r>
            <w:r>
              <w:t xml:space="preserve">, écosystème sécurité mature (Spring Security), référence en fintech</w:t>
            </w:r>
          </w:p>
        </w:tc>
        <w:tc>
          <w:tcPr>
            <w:tcW w:w="2340" w:type="dxa"/>
          </w:tcPr>
          <w:p>
            <w:pPr/>
            <w:r>
              <w:t xml:space="preserve">Kotlin + Spring Boot ; NestJS (TypeScript)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Base de données</w:t>
            </w:r>
          </w:p>
        </w:tc>
        <w:tc>
          <w:tcPr>
            <w:tcW w:w="2340" w:type="dxa"/>
          </w:tcPr>
          <w:p>
            <w:pPr/>
            <w:r>
              <w:t xml:space="preserve">PostgreSQL 16</w:t>
            </w:r>
          </w:p>
        </w:tc>
        <w:tc>
          <w:tcPr>
            <w:tcW w:w="2340" w:type="dxa"/>
          </w:tcPr>
          <w:p>
            <w:pPr/>
            <w:r>
              <w:t xml:space="preserve">ACID, verrous fins, JSONB, partitionnement des tables d'opérations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Cache, verrous, limitation de débit</w:t>
            </w:r>
          </w:p>
        </w:tc>
        <w:tc>
          <w:tcPr>
            <w:tcW w:w="2340" w:type="dxa"/>
          </w:tcPr>
          <w:p>
            <w:pPr/>
            <w:r>
              <w:t xml:space="preserve">Redis</w:t>
            </w:r>
          </w:p>
        </w:tc>
        <w:tc>
          <w:tcPr>
            <w:tcW w:w="2340" w:type="dxa"/>
          </w:tcPr>
          <w:p>
            <w:pPr/>
            <w:r>
              <w:t xml:space="preserve">Jetons QR à courte durée, OTP, rate limiting, idempotence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Messagerie / événements</w:t>
            </w:r>
          </w:p>
        </w:tc>
        <w:tc>
          <w:tcPr>
            <w:tcW w:w="2340" w:type="dxa"/>
          </w:tcPr>
          <w:p>
            <w:pPr/>
            <w:r>
              <w:t xml:space="preserve">RabbitMQ (V1)</w:t>
            </w:r>
          </w:p>
        </w:tc>
        <w:tc>
          <w:tcPr>
            <w:tcW w:w="2340" w:type="dxa"/>
          </w:tcPr>
          <w:p>
            <w:pPr/>
            <w:r>
              <w:t xml:space="preserve">Notifications, AML asynchrone, webhooks partenaires ; outbox transactionnelle</w:t>
            </w:r>
          </w:p>
        </w:tc>
        <w:tc>
          <w:tcPr>
            <w:tcW w:w="2340" w:type="dxa"/>
          </w:tcPr>
          <w:p>
            <w:pPr/>
            <w:r>
              <w:t xml:space="preserve">Kafka si volume élevé (V2)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Identité et accès</w:t>
            </w:r>
          </w:p>
        </w:tc>
        <w:tc>
          <w:tcPr>
            <w:tcW w:w="2340" w:type="dxa"/>
          </w:tcPr>
          <w:p>
            <w:pPr/>
            <w:r>
              <w:t xml:space="preserve">Keycloak (OIDC/OAuth2)</w:t>
            </w:r>
          </w:p>
        </w:tc>
        <w:tc>
          <w:tcPr>
            <w:tcW w:w="2340" w:type="dxa"/>
          </w:tcPr>
          <w:p>
            <w:pPr/>
            <w:r>
              <w:t xml:space="preserve">SSO back-office, MFA, RBAC, gestion des sessions</w:t>
            </w:r>
          </w:p>
        </w:tc>
        <w:tc>
          <w:tcPr>
            <w:tcW w:w="2340" w:type="dxa"/>
          </w:tcPr>
          <w:p>
            <w:pPr/>
            <w:r>
              <w:t xml:space="preserve">Spring Authorization Server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Front Web (Admin, Support, Agence)</w:t>
            </w:r>
          </w:p>
        </w:tc>
        <w:tc>
          <w:tcPr>
            <w:tcW w:w="2340" w:type="dxa"/>
          </w:tcPr>
          <w:p>
            <w:pPr/>
            <w:r>
              <w:t xml:space="preserve">React + TypeScript + Vite, TanStack Query, shadcn/ui + Tailwind</w:t>
            </w:r>
          </w:p>
        </w:tc>
        <w:tc>
          <w:tcPr>
            <w:tcW w:w="2340" w:type="dxa"/>
          </w:tcPr>
          <w:p>
            <w:pPr/>
            <w:r>
              <w:t xml:space="preserve">Riche en tableaux et formulaires, grand vivier de développeurs</w:t>
            </w:r>
          </w:p>
        </w:tc>
        <w:tc>
          <w:tcPr>
            <w:tcW w:w="2340" w:type="dxa"/>
          </w:tcPr>
          <w:p>
            <w:pPr/>
            <w:r>
              <w:t xml:space="preserve">Vue 3 + shadcn-vue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Graphiques Web</w:t>
            </w:r>
          </w:p>
        </w:tc>
        <w:tc>
          <w:tcPr>
            <w:tcW w:w="2340" w:type="dxa"/>
          </w:tcPr>
          <w:p>
            <w:pPr/>
            <w:r>
              <w:t xml:space="preserve">Apache ECharts</w:t>
            </w:r>
          </w:p>
        </w:tc>
        <w:tc>
          <w:tcPr>
            <w:tcW w:w="2340" w:type="dxa"/>
          </w:tcPr>
          <w:p>
            <w:pPr/>
            <w:r>
              <w:t xml:space="preserve">Tableaux de bord performants</w:t>
            </w:r>
          </w:p>
        </w:tc>
        <w:tc>
          <w:tcPr>
            <w:tcW w:w="2340" w:type="dxa"/>
          </w:tcPr>
          <w:p>
            <w:pPr/>
            <w:r>
              <w:t xml:space="preserve">Recharts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Mobile (Agence + Client)</w:t>
            </w:r>
          </w:p>
        </w:tc>
        <w:tc>
          <w:tcPr>
            <w:tcW w:w="2340" w:type="dxa"/>
          </w:tcPr>
          <w:p>
            <w:pPr/>
            <w:r>
              <w:t xml:space="preserve">Flutter (Dart)</w:t>
            </w:r>
          </w:p>
        </w:tc>
        <w:tc>
          <w:tcPr>
            <w:tcW w:w="2340" w:type="dxa"/>
          </w:tcPr>
          <w:p>
            <w:pPr/>
            <w:r>
              <w:t xml:space="preserve">Une base pour Android et iOS, performant sur appareils d'entrée de gamme, scan QR (mobile_scanner), biométrie (local_auth)</w:t>
            </w:r>
          </w:p>
        </w:tc>
        <w:tc>
          <w:tcPr>
            <w:tcW w:w="2340" w:type="dxa"/>
          </w:tcPr>
          <w:p>
            <w:pPr/>
            <w:r>
              <w:t xml:space="preserve">React Native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Stockage sécurisé mobile</w:t>
            </w:r>
          </w:p>
        </w:tc>
        <w:tc>
          <w:tcPr>
            <w:tcW w:w="2340" w:type="dxa"/>
          </w:tcPr>
          <w:p>
            <w:pPr/>
            <w:r>
              <w:t xml:space="preserve">flutter_secure_storage (Keystore/Keychain)</w:t>
            </w:r>
          </w:p>
        </w:tc>
        <w:tc>
          <w:tcPr>
            <w:tcW w:w="2340" w:type="dxa"/>
          </w:tcPr>
          <w:p>
            <w:pPr/>
            <w:r>
              <w:t xml:space="preserve">Jetons et clés d'appareil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Documents KYC</w:t>
            </w:r>
          </w:p>
        </w:tc>
        <w:tc>
          <w:tcPr>
            <w:tcW w:w="2340" w:type="dxa"/>
          </w:tcPr>
          <w:p>
            <w:pPr/>
            <w:r>
              <w:t xml:space="preserve">Stockage objet S3-compatible (MinIO ou cloud) chiffré</w:t>
            </w:r>
          </w:p>
        </w:tc>
        <w:tc>
          <w:tcPr>
            <w:tcW w:w="2340" w:type="dxa"/>
          </w:tcPr>
          <w:p>
            <w:pPr/>
            <w:r>
              <w:t xml:space="preserve">Pièces d'identité, selfies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Vérification d'identité</w:t>
            </w:r>
          </w:p>
        </w:tc>
        <w:tc>
          <w:tcPr>
            <w:tcW w:w="2340" w:type="dxa"/>
          </w:tcPr>
          <w:p>
            <w:pPr/>
            <w:r>
              <w:t xml:space="preserve">Fournisseur KYC (OCR + liveness)</w:t>
            </w:r>
          </w:p>
        </w:tc>
        <w:tc>
          <w:tcPr>
            <w:tcW w:w="2340" w:type="dxa"/>
          </w:tcPr>
          <w:p>
            <w:pPr/>
            <w:r>
              <w:t xml:space="preserve">Accélère le KYC mobile niveau 2</w:t>
            </w:r>
          </w:p>
        </w:tc>
        <w:tc>
          <w:tcPr>
            <w:tcW w:w="2340" w:type="dxa"/>
          </w:tcPr>
          <w:p>
            <w:pPr/>
            <w:r>
              <w:t xml:space="preserve">Revue manuelle en 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Filtrage sanctions/PEP</w:t>
            </w:r>
          </w:p>
        </w:tc>
        <w:tc>
          <w:tcPr>
            <w:tcW w:w="2340" w:type="dxa"/>
          </w:tcPr>
          <w:p>
            <w:pPr/>
            <w:r>
              <w:t xml:space="preserve">Service spécialisé via API, ou listes importées + recherche floue</w:t>
            </w:r>
          </w:p>
        </w:tc>
        <w:tc>
          <w:tcPr>
            <w:tcW w:w="2340" w:type="dxa"/>
          </w:tcPr>
          <w:p>
            <w:pPr/>
            <w:r>
              <w:t xml:space="preserve">Couverture et mises à jour des listes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SMS / OTP / push</w:t>
            </w:r>
          </w:p>
        </w:tc>
        <w:tc>
          <w:tcPr>
            <w:tcW w:w="2340" w:type="dxa"/>
          </w:tcPr>
          <w:p>
            <w:pPr/>
            <w:r>
              <w:t xml:space="preserve">Agrégateur SMS local + Firebase Cloud Messaging</w:t>
            </w:r>
          </w:p>
        </w:tc>
        <w:tc>
          <w:tcPr>
            <w:tcW w:w="2340" w:type="dxa"/>
          </w:tcPr>
          <w:p>
            <w:pPr/>
            <w:r>
              <w:t xml:space="preserve">Couverture des opérateurs sénégalais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Rapports</w:t>
            </w:r>
          </w:p>
        </w:tc>
        <w:tc>
          <w:tcPr>
            <w:tcW w:w="2340" w:type="dxa"/>
          </w:tcPr>
          <w:p>
            <w:pPr/>
            <w:r>
              <w:t xml:space="preserve">JasperReports (PDF), Apache POI (Excel)</w:t>
            </w:r>
          </w:p>
        </w:tc>
        <w:tc>
          <w:tcPr>
            <w:tcW w:w="2340" w:type="dxa"/>
          </w:tcPr>
          <w:p>
            <w:pPr/>
            <w:r>
              <w:t xml:space="preserve">Reçus, états fiscaux et réglementaires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Conteneurs et déploiement</w:t>
            </w:r>
          </w:p>
        </w:tc>
        <w:tc>
          <w:tcPr>
            <w:tcW w:w="2340" w:type="dxa"/>
          </w:tcPr>
          <w:p>
            <w:pPr/>
            <w:r>
              <w:t xml:space="preserve">Docker + Kubernetes (ou Docker Compose au démarrage)</w:t>
            </w:r>
          </w:p>
        </w:tc>
        <w:tc>
          <w:tcPr>
            <w:tcW w:w="2340" w:type="dxa"/>
          </w:tcPr>
          <w:p>
            <w:pPr/>
            <w:r>
              <w:t xml:space="preserve">Montée en charge progressive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CI/CD</w:t>
            </w:r>
          </w:p>
        </w:tc>
        <w:tc>
          <w:tcPr>
            <w:tcW w:w="2340" w:type="dxa"/>
          </w:tcPr>
          <w:p>
            <w:pPr/>
            <w:r>
              <w:t xml:space="preserve">GitLab CI ou GitHub Actions ; SonarQube, OWASP Dependency-Check, Trivy</w:t>
            </w:r>
          </w:p>
        </w:tc>
        <w:tc>
          <w:tcPr>
            <w:tcW w:w="2340" w:type="dxa"/>
          </w:tcPr>
          <w:p>
            <w:pPr/>
            <w:r>
              <w:t xml:space="preserve">Qualité et sécurité à chaque livraison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Secrets et clés</w:t>
            </w:r>
          </w:p>
        </w:tc>
        <w:tc>
          <w:tcPr>
            <w:tcW w:w="2340" w:type="dxa"/>
          </w:tcPr>
          <w:p>
            <w:pPr/>
            <w:r>
              <w:t xml:space="preserve">HashiCorp Vault (ou KMS du cloud)</w:t>
            </w:r>
          </w:p>
        </w:tc>
        <w:tc>
          <w:tcPr>
            <w:tcW w:w="2340" w:type="dxa"/>
          </w:tcPr>
          <w:p>
            <w:pPr/>
            <w:r>
              <w:t xml:space="preserve">Clés de signature QR, chiffrement des données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Observabilité</w:t>
            </w:r>
          </w:p>
        </w:tc>
        <w:tc>
          <w:tcPr>
            <w:tcW w:w="2340" w:type="dxa"/>
          </w:tcPr>
          <w:p>
            <w:pPr/>
            <w:r>
              <w:t xml:space="preserve">Prometheus + Grafana, Loki, OpenTelemetry, Sentry</w:t>
            </w:r>
          </w:p>
        </w:tc>
        <w:tc>
          <w:tcPr>
            <w:tcW w:w="2340" w:type="dxa"/>
          </w:tcPr>
          <w:p>
            <w:pPr/>
            <w:r>
              <w:t xml:space="preserve">Métriques, logs, traces, erreurs mobiles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Hébergement</w:t>
            </w:r>
          </w:p>
        </w:tc>
        <w:tc>
          <w:tcPr>
            <w:tcW w:w="2340" w:type="dxa"/>
          </w:tcPr>
          <w:p>
            <w:pPr/>
            <w:r>
              <w:t xml:space="preserve">Datacenter au Sénégal (souveraineté des données) ou cloud avec région Afrique</w:t>
            </w:r>
          </w:p>
        </w:tc>
        <w:tc>
          <w:tcPr>
            <w:tcW w:w="2340" w:type="dxa"/>
          </w:tcPr>
          <w:p>
            <w:pPr/>
            <w:r>
              <w:t xml:space="preserve">Conformité CDP, latence</w:t>
            </w:r>
          </w:p>
        </w:tc>
        <w:tc>
          <w:tcPr>
            <w:tcW w:w="2340" w:type="dxa"/>
          </w:tcPr>
          <w:p>
            <w:pPr/>
            <w:r>
              <w:t xml:space="preserve">À trancher avec le juriste</w:t>
            </w:r>
          </w:p>
        </w:tc>
      </w:tr>
    </w:tbl>
    <w:p>
      <w:pPr/>
      <w:r>
        <w:rPr>
          <w:b/>
        </w:rPr>
        <w:t xml:space="preserve">Pourquoi pas Grails pour ce projet ?</w:t>
      </w:r>
      <w:r>
        <w:t xml:space="preserve"> Grails reste possible (même JVM), mais Spring Boot offre plus de bibliothèques financières et de sécurité, un support à long terme plus large et un recrutement plus facile, ce qui compte pour un produit régulé.</w:t>
      </w:r>
    </w:p>
    <w:p>
      <w:pPr/>
      <w:r>
        <w:rPr>
          <w:b/>
        </w:rPr>
        <w:t xml:space="preserve">Pourquoi un monolithe modulaire ?</w:t>
      </w:r>
      <w:r>
        <w:t xml:space="preserve"> Une équipe de taille réduite livre plus vite avec un seul déploiement ; les modules (Ledger, Transfert, Wallet, Conformité, Paramétrage, Notification) ont des frontières nettes et pourront être extraits en services si la charge l'exige.</w:t>
      </w:r>
    </w:p>
    <w:p>
      <w:pPr>
        <w:pStyle w:val="Heading2"/>
      </w:pPr>
      <w:r>
        <w:t xml:space="preserve">11. Planning, livrables et points ouverts</w:t>
      </w:r>
    </w:p>
    <w:p>
      <w:pPr/>
      <w:r>
        <w:t xml:space="preserve">Estimation indicative : environ 9 mois jusqu'au lancement commercial avec une équipe de 6 à 8 personnes (2 backend, 1 front Web, 2 mobile, 1 QA, 1 DevOps à temps partiel, 1 chef de projet/PO).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Cadrage et conception</w:t>
      </w:r>
      <w:r>
        <w:t xml:space="preserve"> (6 semaines) : ateliers métier, validation juridique, maquettes UX, modèle de données, contrats d'API.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Socle technique</w:t>
      </w:r>
      <w:r>
        <w:t xml:space="preserve"> (4 semaines) : infrastructure, CI/CD, Keycloak, grand livre, paramétrage.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Lot 1 — Transfert en agence</w:t>
      </w:r>
      <w:r>
        <w:t xml:space="preserve"> (10 semaines) : back-office admin, portail agence, envoi/paiement, taxes, caisse, reçus.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Lot 2 — Wallet et mobile</w:t>
      </w:r>
      <w:r>
        <w:t xml:space="preserve"> (10 semaines) : app client, app agence, P2P, cash-in/cash-out QR Code, KYC mobile.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Lot 3 — Conformité et pilotage</w:t>
      </w:r>
      <w:r>
        <w:t xml:space="preserve"> (6 semaines, en partie en parallèle) : AML, support, tableaux de bord, rapports réglementaires.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Recette, sécurité et pilote</w:t>
      </w:r>
      <w:r>
        <w:t xml:space="preserve"> (6 semaines) : tests de charge, test d'intrusion, pilote sur 3 à 5 agences.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Généralisation</w:t>
      </w:r>
      <w:r>
        <w:t xml:space="preserve"> : déploiement progressif, formation, support.</w:t>
      </w:r>
    </w:p>
    <w:p>
      <w:pPr/>
      <w:r>
        <w:rPr>
          <w:b/>
        </w:rPr>
        <w:t xml:space="preserve">Livrables</w:t>
      </w:r>
      <w:r>
        <w:t xml:space="preserve"> : spécifications détaillées, maquettes, code source, spécification OpenAPI, apps publiées (Play Store, App Store), documentation d'exploitation, plan de tests et PV de recette, rapport de test d'intrusion.</w:t>
      </w:r>
    </w:p>
    <w:p>
      <w:pPr/>
      <w:r>
        <w:rPr>
          <w:b/>
        </w:rPr>
        <w:t xml:space="preserve">Points ouverts à trancher</w:t>
      </w:r>
    </w:p>
    <w:p>
      <w:pPr>
        <w:pStyle w:val="ListParagraph"/>
        <w:numPr>
          <w:ilvl w:val="0"/>
          <w:numId w:val="13"/>
        </w:numPr>
      </w:pPr>
      <w:r>
        <w:t xml:space="preserve">☐ Statut réglementaire : agrément EME propre ou partenariat avec une banque/EME agréé ?</w:t>
      </w:r>
    </w:p>
    <w:p>
      <w:pPr>
        <w:pStyle w:val="ListParagraph"/>
        <w:numPr>
          <w:ilvl w:val="0"/>
          <w:numId w:val="13"/>
        </w:numPr>
      </w:pPr>
      <w:r>
        <w:t xml:space="preserve">☐ Base exacte de la TAF : frais uniquement (hypothèse retenue) ou montant envoyé ?</w:t>
      </w:r>
    </w:p>
    <w:p>
      <w:pPr>
        <w:pStyle w:val="ListParagraph"/>
        <w:numPr>
          <w:ilvl w:val="0"/>
          <w:numId w:val="13"/>
        </w:numPr>
      </w:pPr>
      <w:r>
        <w:t xml:space="preserve">☐ Taux, base et plafond de la THZUEMOA, et corridors concernés.</w:t>
      </w:r>
    </w:p>
    <w:p>
      <w:pPr>
        <w:pStyle w:val="ListParagraph"/>
        <w:numPr>
          <w:ilvl w:val="0"/>
          <w:numId w:val="13"/>
        </w:numPr>
      </w:pPr>
      <w:r>
        <w:t xml:space="preserve">☐ Taxes payées par l'expéditeur (hypothèse) ou déduites du montant reçu ?</w:t>
      </w:r>
    </w:p>
    <w:p>
      <w:pPr>
        <w:pStyle w:val="ListParagraph"/>
        <w:numPr>
          <w:ilvl w:val="0"/>
          <w:numId w:val="13"/>
        </w:numPr>
      </w:pPr>
      <w:r>
        <w:t xml:space="preserve">☐ TTA et TAF appliquées aussi aux opérations wallet (P2P, cash-in, cash-out) ?</w:t>
      </w:r>
    </w:p>
    <w:p>
      <w:pPr>
        <w:pStyle w:val="ListParagraph"/>
        <w:numPr>
          <w:ilvl w:val="0"/>
          <w:numId w:val="13"/>
        </w:numPr>
      </w:pPr>
      <w:r>
        <w:t xml:space="preserve">☐ Liste des pays et corridors du lancement, et partenaires payeurs à l'étranger.</w:t>
      </w:r>
    </w:p>
    <w:p>
      <w:pPr>
        <w:pStyle w:val="ListParagraph"/>
        <w:numPr>
          <w:ilvl w:val="0"/>
          <w:numId w:val="13"/>
        </w:numPr>
      </w:pPr>
      <w:r>
        <w:t xml:space="preserve">☐ Seuils KYC et plafonds par niveau.</w:t>
      </w:r>
    </w:p>
    <w:p>
      <w:pPr>
        <w:pStyle w:val="ListParagraph"/>
        <w:numPr>
          <w:ilvl w:val="0"/>
          <w:numId w:val="13"/>
        </w:numPr>
      </w:pPr>
      <w:r>
        <w:t xml:space="preserve">☐ Hébergement : Sénégal ou cloud régional.</w:t>
      </w:r>
    </w:p>
    <w:p>
      <w:pPr>
        <w:pStyle w:val="ListParagraph"/>
        <w:numPr>
          <w:ilvl w:val="0"/>
          <w:numId w:val="13"/>
        </w:numPr>
      </w:pPr>
      <w:r>
        <w:t xml:space="preserve">☐ Intégration Mobile Money (Orange Money, Wave…) dès la V1 ou en V2 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Cash In Motion — Cahier des charges &amp; spécifications techniques</dc:title>
  <dc:description>Claude Docs node/a31b0168-02cd@12 docx-w6</dc:description>
  <cp:revision>12</cp:revision>
</cp:coreProperties>
</file>