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24F" w:rsidRDefault="001F124F" w:rsidP="001F12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 hátország az első világháborúban</w:t>
      </w:r>
      <w:bookmarkStart w:id="0" w:name="_GoBack"/>
      <w:bookmarkEnd w:id="0"/>
    </w:p>
    <w:p w:rsidR="001F124F" w:rsidRDefault="001F124F" w:rsidP="001F124F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1F124F" w:rsidRDefault="001F124F" w:rsidP="001F124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9134F2"/>
    <w:p w:rsidR="001F124F" w:rsidRDefault="001F124F">
      <w:r>
        <w:rPr>
          <w:rStyle w:val="sentencefvpwo1"/>
          <w:rFonts w:ascii="Arial" w:hAnsi="Arial" w:cs="Arial"/>
          <w:color w:val="202C6C"/>
          <w:shd w:val="clear" w:color="auto" w:fill="FFF2CF"/>
        </w:rPr>
        <w:t>A Hátország fogalma az első világháborúban azokra az országokra vonatkozik, amelyek nem közvetlenül vettek részt a harcokban, de politikai, gazdasági vagy stratégiai okokból fontos szerepet játszottak a háborús erőfeszítések támogatásában.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Ezek az országok gyakran hátországi területek voltak, ahol a logisztikai és gazdasági támogatás, valamint a politikai befolyás kulcsfontosságú volt a frontvonalak mögött harcoló katonák számára.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Hátországok általában fontos voltak az ellátás biztosításában, a hadianyagok és az élelmiszerek termelésében, valamint a hadigazdaság fenntartásában.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Emellett diplomáciai és propaganda tevékenységeket is folytattak a háború során, hogy támogassák azokat az országokat, amelyekkel szövetségben álltak.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Bár a Hátországok nem közvetlenül vettek részt a harcokban, jelentős szerepük volt a háború kimenetelében, és gazdasági, politikai és társadalmi hatásaik még hosszú ideig érezték magukat a háború után is.</w:t>
      </w:r>
      <w:r>
        <w:rPr>
          <w:rFonts w:ascii="Arial" w:hAnsi="Arial" w:cs="Arial"/>
          <w:color w:val="202C6C"/>
          <w:shd w:val="clear" w:color="auto" w:fill="FFFFFF"/>
        </w:rPr>
        <w:t> </w:t>
      </w:r>
    </w:p>
    <w:sectPr w:rsidR="001F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4F"/>
    <w:rsid w:val="001F124F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9E03"/>
  <w15:chartTrackingRefBased/>
  <w15:docId w15:val="{36412D3E-104E-4858-9EED-B5E1F3F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F124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1F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911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2024-04-10T08:53:00Z</dcterms:created>
  <dcterms:modified xsi:type="dcterms:W3CDTF">2024-04-10T08:55:00Z</dcterms:modified>
</cp:coreProperties>
</file>