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céhek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 középkori céhek jelentős szerepet játszottak a társadalmi és gazdasági életben a középkori Európában. </w:t>
      </w:r>
      <w:r w:rsidDel="00000000" w:rsidR="00000000" w:rsidRPr="00000000">
        <w:rPr>
          <w:shd w:fill="fff2cc" w:val="clear"/>
          <w:rtl w:val="0"/>
        </w:rPr>
        <w:t xml:space="preserve">Ezek a szakmai és kereskedelmi szervezetek szigorú szabályok alapján működtek, amelyek meghatározták a tagok jogait, kötelességeit és a verseny korlátozásának szabályait. 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céhek azonban nemcsak gazdasági, hanem társadalmi és kulturális szerepet is betöltöttek. Tagjaik gyakran szoros közösségi életet éltek, segítve egymást a szakmai fejlődésben és a városi életben való boldogulásban. A céhek emellett képeztek egyfajta társadalmi mobilitási eszközt is, lehetőséget adva az alacsonyabb társadalmi rétegeknek a szakmai fejlődésre és a jobb életkörülmények elérésére. 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Ugyanakkor a céhek szigorú szabályai és a tagok közötti szűk csoportok gyakran korlátozták az innovációt és a versenyt. Ez a gazdasági fejlődés lassulásához és néha stagnálásához vezethetett. 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középkori céhek jelentős hatást gyakoroltak az európai társadalom és gazdaság fejlődésére. Bár a modern korban eltűntek, hagyományaik és hatásaik még mindig érezhetők a mai napig a városi életben és a szakmák szerveződésében. </w:t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