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Az angol alkotmányos monarchia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angol alkotmányos monarchia hosszú és gazdag története az európai politikai rendszerek egyik legérdekesebb példája. Ez a rendszer egyedülálló módon ötvözi a monarchia hagyományos jellemzőit a modern demokrácia intézményeivel. Az Egyesült Királyságban a királynő vagy a király csak korlátozott hatalommal rendelkezik, és az állami ügyeket ténylegesen a választott törvényhozás, a parlament intézi.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angol alkotmányos monarchia alkotmányos alapjai számos történelmi eseményből alakultak ki, mint például a Magna Charta vagy az Angol Polgárháború. Ezek az események meghatározták az uralkodó és a parlament viszonyát, valamint az állampolgárok jogait és kötelességeit.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Az angol alkotmányos monarchia stabilitása és rugalmassága példaértékű más országok számára is. A monarchia hagyományai és szimbólumai egyedülálló kulturális örökséget képviselnek, miközben az ország modern politikai és társadalmi értékeket is tükröz. Az Egyesült Királyság politikai rendszere megmutatja, hogy hogyan lehet sikeresen ötvözni a hagyományt és a modernitást egy hatékony és stabil politikai struktúrában.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