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Cambria Math" w:cs="Cambria Math" w:eastAsia="Cambria Math" w:hAnsi="Cambria Math"/>
          <w:b w:val="1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b w:val="1"/>
          <w:sz w:val="32"/>
          <w:szCs w:val="32"/>
          <w:rtl w:val="0"/>
        </w:rPr>
        <w:t xml:space="preserve">RECONSTRUCȚIA ȘTIINȚIFICĂ A FORMULEI U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Cambria Math" w:cs="Cambria Math" w:eastAsia="Cambria Math" w:hAnsi="Cambria Math"/>
          <w:i w:val="1"/>
          <w:sz w:val="32"/>
          <w:szCs w:val="32"/>
        </w:rPr>
      </w:pPr>
      <w:r w:rsidDel="00000000" w:rsidR="00000000" w:rsidRPr="00000000">
        <w:rPr>
          <w:rFonts w:ascii="Cambria Math" w:cs="Cambria Math" w:eastAsia="Cambria Math" w:hAnsi="Cambria Math"/>
          <w:i w:val="1"/>
          <w:sz w:val="32"/>
          <w:szCs w:val="32"/>
          <w:rtl w:val="0"/>
        </w:rPr>
        <w:t xml:space="preserve">(COEFICIENT GLOBAL DE TRANSFER TERMIC)</w:t>
      </w:r>
    </w:p>
    <w:p w:rsidR="00000000" w:rsidDel="00000000" w:rsidP="00000000" w:rsidRDefault="00000000" w:rsidRPr="00000000" w14:paraId="00000003">
      <w:pPr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mbria Math" w:cs="Cambria Math" w:eastAsia="Cambria Math" w:hAnsi="Cambria Math"/>
          <w:b w:val="1"/>
          <w:u w:val="single"/>
        </w:rPr>
      </w:pPr>
      <w:r w:rsidDel="00000000" w:rsidR="00000000" w:rsidRPr="00000000">
        <w:rPr>
          <w:rFonts w:ascii="Cambria Math" w:cs="Cambria Math" w:eastAsia="Cambria Math" w:hAnsi="Cambria Math"/>
          <w:b w:val="1"/>
          <w:u w:val="single"/>
          <w:rtl w:val="0"/>
        </w:rPr>
        <w:t xml:space="preserve">Formula științifică la:</w:t>
      </w:r>
    </w:p>
    <w:p w:rsidR="00000000" w:rsidDel="00000000" w:rsidP="00000000" w:rsidRDefault="00000000" w:rsidRPr="00000000" w14:paraId="00000005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U</m:t>
        </m:r>
        <m:sSup>
          <m:sSupPr>
            <m:ctrlPr>
              <w:rPr>
                <w:rFonts w:ascii="Cambria Math" w:cs="Cambria Math" w:eastAsia="Cambria Math" w:hAnsi="Cambria Math"/>
              </w:rPr>
            </m:ctrlPr>
          </m:sSupPr>
          <m:e>
            <m:r>
              <w:rPr>
                <w:rFonts w:ascii="Cambria Math" w:cs="Cambria Math" w:eastAsia="Cambria Math" w:hAnsi="Cambria Math"/>
              </w:rPr>
              <m:t xml:space="preserve">=</m:t>
            </m:r>
            <m:d>
              <m:dPr>
                <m:begChr m:val="["/>
                <m:endChr m:val="]"/>
                <m:ctrlPr>
                  <w:rPr>
                    <w:rFonts w:ascii="Cambria Math" w:cs="Cambria Math" w:eastAsia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</w:rPr>
                      <m:t xml:space="preserve"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h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i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v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'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d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3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>λ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v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  <m:f>
                  <m:fPr>
                    <m:ctrlPr>
                      <w:rPr>
                        <w:rFonts w:ascii="Cambria Math" w:cs="Cambria Math" w:eastAsia="Cambria Math" w:hAnsi="Cambria Math"/>
                      </w:rPr>
                    </m:ctrlPr>
                  </m:fPr>
                  <m:num>
                    <m:r>
                      <w:rPr>
                        <w:rFonts w:ascii="Cambria Math" w:cs="Cambria Math" w:eastAsia="Cambria Math" w:hAnsi="Cambria Math"/>
                      </w:rPr>
                      <m:t xml:space="preserve"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h</m:t>
                        </m:r>
                      </m:e>
                      <m:sub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e</m:t>
                        </m:r>
                      </m:sub>
                    </m:sSub>
                  </m:den>
                </m:f>
                <m:r>
                  <w:rPr>
                    <w:rFonts w:ascii="Cambria Math" w:cs="Cambria Math" w:eastAsia="Cambria Math" w:hAnsi="Cambria Math"/>
                  </w:rPr>
                  <m:t xml:space="preserve">+</m:t>
                </m:r>
                <m:nary>
                  <m:naryPr>
                    <m:chr m:val="∑"/>
                    <m:ctrlPr>
                      <w:rPr>
                        <w:rFonts w:ascii="Cambria Math" w:cs="Cambria Math" w:eastAsia="Cambria Math" w:hAnsi="Cambria Math"/>
                      </w:rPr>
                    </m:ctrlPr>
                  </m:naryPr>
                  <m:sub>
                    <m:r>
                      <w:rPr>
                        <w:rFonts w:ascii="Cambria Math" w:cs="Cambria Math" w:eastAsia="Cambria Math" w:hAnsi="Cambria Math"/>
                      </w:rPr>
                      <m:t xml:space="preserve">n=1</m:t>
                    </m:r>
                  </m:sub>
                  <m:sup>
                    <m:r>
                      <w:rPr>
                        <w:rFonts w:ascii="Cambria Math" w:cs="Cambria Math" w:eastAsia="Cambria Math" w:hAnsi="Cambria Math"/>
                      </w:rPr>
                      <m:t xml:space="preserve">3</m:t>
                    </m:r>
                  </m:sup>
                </m:nary>
                <m:d>
                  <m:dPr>
                    <m:begChr m:val="("/>
                    <m:endChr m:val=")"/>
                    <m:ctrlPr>
                      <w:rPr>
                        <w:rFonts w:ascii="Cambria Math" w:cs="Cambria Math" w:eastAsia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h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i</m:t>
                            </m:r>
                          </m:sub>
                          <m:sup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(ThermX)</m:t>
                            </m:r>
                          </m:sup>
                        </m:sSubSup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+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sSubSup>
                          <m:sSubSup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d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n</m:t>
                            </m:r>
                          </m:sub>
                          <m:sup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(ThermX)</m:t>
                            </m:r>
                          </m:sup>
                        </m:sSubSup>
                      </m:num>
                      <m:den>
                        <m:sSub>
                          <m:sSub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>λ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ThermX</m:t>
                            </m:r>
                          </m:sub>
                        </m:sSub>
                      </m:den>
                    </m:f>
                    <m:r>
                      <w:rPr>
                        <w:rFonts w:ascii="Cambria Math" w:cs="Cambria Math" w:eastAsia="Cambria Math" w:hAnsi="Cambria Math"/>
                      </w:rPr>
                      <m:t xml:space="preserve">+</m:t>
                    </m:r>
                    <m:f>
                      <m:fPr>
                        <m:ctrlPr>
                          <w:rPr>
                            <w:rFonts w:ascii="Cambria Math" w:cs="Cambria Math" w:eastAsia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cs="Cambria Math" w:eastAsia="Cambria Math" w:hAnsi="Cambria Math"/>
                          </w:rPr>
                          <m:t xml:space="preserve">1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cs="Cambria Math" w:eastAsia="Cambria Math" w:hAnsi="Cambria Math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h</m:t>
                            </m:r>
                          </m:e>
                          <m:sub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e</m:t>
                            </m:r>
                          </m:sub>
                          <m:sup>
                            <m:r>
                              <w:rPr>
                                <w:rFonts w:ascii="Cambria Math" w:cs="Cambria Math" w:eastAsia="Cambria Math" w:hAnsi="Cambria Math"/>
                              </w:rPr>
                              <m:t xml:space="preserve">(ThermX)</m:t>
                            </m:r>
                          </m:sup>
                        </m:sSubSup>
                      </m:den>
                    </m:f>
                  </m:e>
                </m:d>
              </m:e>
            </m:d>
          </m:e>
          <m:sup>
            <m:r>
              <w:rPr>
                <w:rFonts w:ascii="Cambria Math" w:cs="Cambria Math" w:eastAsia="Cambria Math" w:hAnsi="Cambria Math"/>
              </w:rPr>
              <m:t xml:space="preserve">-1</m:t>
            </m:r>
          </m:sup>
        </m:sSup>
      </m:oMath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 Math" w:cs="Cambria Math" w:eastAsia="Cambria Math" w:hAnsi="Cambria Math"/>
          <w:b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Descriere și interpretare:</w:t>
      </w:r>
    </w:p>
    <w:p w:rsidR="00000000" w:rsidDel="00000000" w:rsidP="00000000" w:rsidRDefault="00000000" w:rsidRPr="00000000" w14:paraId="00000007">
      <w:pPr>
        <w:jc w:val="both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Această ecuație determină </w:t>
      </w: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coeficientul global de transfer termic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(U, exprimat în W/m²·K), care caracterizează </w:t>
      </w: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cât de eficient se transmite căldura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printr-un sistem stratificat de materiale, incluzând straturi convenționale (vid, cărămidă, etc.) și straturi termoizolante speciale (ThermX).</w:t>
      </w:r>
    </w:p>
    <w:p w:rsidR="00000000" w:rsidDel="00000000" w:rsidP="00000000" w:rsidRDefault="00000000" w:rsidRPr="00000000" w14:paraId="00000008">
      <w:pPr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mbria Math" w:cs="Cambria Math" w:eastAsia="Cambria Math" w:hAnsi="Cambria Math"/>
          <w:b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Componentele formulei: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h</w:t>
      </w:r>
      <w:r w:rsidDel="00000000" w:rsidR="00000000" w:rsidRPr="00000000">
        <w:rPr>
          <w:rFonts w:ascii="Cambria Math" w:cs="Cambria Math" w:eastAsia="Cambria Math" w:hAnsi="Cambria Math"/>
          <w:vertAlign w:val="subscript"/>
          <w:rtl w:val="0"/>
        </w:rPr>
        <w:t xml:space="preserve">i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​, h</w:t>
      </w:r>
      <w:r w:rsidDel="00000000" w:rsidR="00000000" w:rsidRPr="00000000">
        <w:rPr>
          <w:rFonts w:ascii="Cambria Math" w:cs="Cambria Math" w:eastAsia="Cambria Math" w:hAnsi="Cambria Math"/>
          <w:vertAlign w:val="subscript"/>
          <w:rtl w:val="0"/>
        </w:rPr>
        <w:t xml:space="preserve">e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​ – coeficienți de transfer termic prin convecție </w:t>
      </w: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interioară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și </w:t>
      </w: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exterioară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(W/m²·K)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d – grosimea stratului respectiv (m)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λ – conductivitatea termică a materialului (W/m·K):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λ</w:t>
      </w:r>
      <w:r w:rsidDel="00000000" w:rsidR="00000000" w:rsidRPr="00000000">
        <w:rPr>
          <w:rFonts w:ascii="Cambria Math" w:cs="Cambria Math" w:eastAsia="Cambria Math" w:hAnsi="Cambria Math"/>
          <w:vertAlign w:val="subscript"/>
          <w:rtl w:val="0"/>
        </w:rPr>
        <w:t xml:space="preserve">v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: strat de </w:t>
      </w: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vid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λ</w:t>
      </w:r>
      <w:r w:rsidDel="00000000" w:rsidR="00000000" w:rsidRPr="00000000">
        <w:rPr>
          <w:rFonts w:ascii="Cambria Math" w:cs="Cambria Math" w:eastAsia="Cambria Math" w:hAnsi="Cambria Math"/>
          <w:vertAlign w:val="subscript"/>
          <w:rtl w:val="0"/>
        </w:rPr>
        <w:t xml:space="preserve">ț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: strat de </w:t>
      </w: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cărămidă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λ</w:t>
      </w:r>
      <w:r w:rsidDel="00000000" w:rsidR="00000000" w:rsidRPr="00000000">
        <w:rPr>
          <w:rFonts w:ascii="Cambria Math" w:cs="Cambria Math" w:eastAsia="Cambria Math" w:hAnsi="Cambria Math"/>
          <w:vertAlign w:val="subscript"/>
          <w:rtl w:val="0"/>
        </w:rPr>
        <w:t xml:space="preserve">ThermX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: strat de material termoizolant avansat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Termenii cu ThermX se repetă de 3 ori, sugerând că sunt </w:t>
      </w: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trei straturi de acoperire ThermX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aplicate în mod succesiv</w:t>
      </w:r>
    </w:p>
    <w:p w:rsidR="00000000" w:rsidDel="00000000" w:rsidP="00000000" w:rsidRDefault="00000000" w:rsidRPr="00000000" w14:paraId="00000011">
      <w:pPr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Interpretare fizică: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Ecuația este derivată din analogia cu </w:t>
      </w: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rezistențele termice în serie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:</w:t>
      </w:r>
    </w:p>
    <w:p w:rsidR="00000000" w:rsidDel="00000000" w:rsidP="00000000" w:rsidRDefault="00000000" w:rsidRPr="00000000" w14:paraId="00000014">
      <w:pPr>
        <w:jc w:val="center"/>
        <w:rPr>
          <w:rFonts w:ascii="Cambria Math" w:cs="Cambria Math" w:eastAsia="Cambria Math" w:hAnsi="Cambria Math"/>
        </w:rPr>
      </w:pPr>
      <m:oMath>
        <m:r>
          <w:rPr>
            <w:rFonts w:ascii="Cambria Math" w:cs="Cambria Math" w:eastAsia="Cambria Math" w:hAnsi="Cambria Math"/>
          </w:rPr>
          <m:t xml:space="preserve">U=</m:t>
        </m:r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sSub>
              <m:sSubPr>
                <m:ctrlPr>
                  <w:rPr>
                    <w:rFonts w:ascii="Cambria Math" w:cs="Cambria Math" w:eastAsia="Cambria Math" w:hAnsi="Cambria Math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</w:rPr>
                  <m:t xml:space="preserve">R</m:t>
                </m:r>
              </m:e>
              <m:sub>
                <m:r>
                  <w:rPr>
                    <w:rFonts w:ascii="Cambria Math" w:cs="Cambria Math" w:eastAsia="Cambria Math" w:hAnsi="Cambria Math"/>
                  </w:rPr>
                  <m:t xml:space="preserve">total</m:t>
                </m:r>
              </m:sub>
            </m:sSub>
          </m:den>
        </m:f>
        <m:r>
          <w:rPr>
            <w:rFonts w:ascii="Cambria Math" w:cs="Cambria Math" w:eastAsia="Cambria Math" w:hAnsi="Cambria Math"/>
          </w:rPr>
          <m:t xml:space="preserve">, unde 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total</m:t>
            </m:r>
          </m:sub>
        </m:sSub>
        <m:r>
          <w:rPr>
            <w:rFonts w:ascii="Cambria Math" w:cs="Cambria Math" w:eastAsia="Cambria Math" w:hAnsi="Cambria Math"/>
          </w:rPr>
          <m:t xml:space="preserve">=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interior</m:t>
            </m:r>
          </m:sub>
        </m:sSub>
        <m:r>
          <w:rPr>
            <w:rFonts w:ascii="Cambria Math" w:cs="Cambria Math" w:eastAsia="Cambria Math" w:hAnsi="Cambria Math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strat 1</m:t>
            </m:r>
          </m:sub>
        </m:sSub>
        <m:r>
          <w:rPr>
            <w:rFonts w:ascii="Cambria Math" w:cs="Cambria Math" w:eastAsia="Cambria Math" w:hAnsi="Cambria Math"/>
          </w:rPr>
          <m:t xml:space="preserve">+…+</m:t>
        </m:r>
        <m:sSub>
          <m:sSubPr>
            <m:ctrlPr>
              <w:rPr>
                <w:rFonts w:ascii="Cambria Math" w:cs="Cambria Math" w:eastAsia="Cambria Math" w:hAnsi="Cambria Math"/>
              </w:rPr>
            </m:ctrlPr>
          </m:sSubPr>
          <m:e>
            <m:r>
              <w:rPr>
                <w:rFonts w:ascii="Cambria Math" w:cs="Cambria Math" w:eastAsia="Cambria Math" w:hAnsi="Cambria Math"/>
              </w:rPr>
              <m:t xml:space="preserve">R</m:t>
            </m:r>
          </m:e>
          <m:sub>
            <m:r>
              <w:rPr>
                <w:rFonts w:ascii="Cambria Math" w:cs="Cambria Math" w:eastAsia="Cambria Math" w:hAnsi="Cambria Math"/>
              </w:rPr>
              <m:t xml:space="preserve">exterior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Fiecare strat adaugă o rezistență termică, fie sub forma unui: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strat solid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d</m:t>
            </m:r>
          </m:num>
          <m:den>
            <m:r>
              <w:rPr>
                <w:rFonts w:ascii="Cambria Math" w:cs="Cambria Math" w:eastAsia="Cambria Math" w:hAnsi="Cambria Math"/>
              </w:rPr>
              <m:t>λ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film convectiv </w:t>
      </w:r>
      <m:oMath>
        <m:f>
          <m:fPr>
            <m:ctrlPr>
              <w:rPr>
                <w:rFonts w:ascii="Cambria Math" w:cs="Cambria Math" w:eastAsia="Cambria Math" w:hAnsi="Cambria Math"/>
              </w:rPr>
            </m:ctrlPr>
          </m:fPr>
          <m:num>
            <m:r>
              <w:rPr>
                <w:rFonts w:ascii="Cambria Math" w:cs="Cambria Math" w:eastAsia="Cambria Math" w:hAnsi="Cambria Math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</w:rPr>
              <m:t xml:space="preserve">h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 Math" w:cs="Cambria Math" w:eastAsia="Cambria Math" w:hAnsi="Cambria Math"/>
          <w:b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Aplicație practică:</w:t>
      </w:r>
    </w:p>
    <w:p w:rsidR="00000000" w:rsidDel="00000000" w:rsidP="00000000" w:rsidRDefault="00000000" w:rsidRPr="00000000" w14:paraId="0000001A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Această formulă este folosită pentru: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evaluarea </w:t>
      </w: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pierderilor de căldură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 prin pereți compuși, acoperișuri, fațade sau țevi izolate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optimizarea proiectării </w:t>
      </w: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stratificărilor termoizolante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comparații între soluții clasice (cărămidă, vată minerală) și avansate (ThermX)</w:t>
      </w:r>
    </w:p>
    <w:p w:rsidR="00000000" w:rsidDel="00000000" w:rsidP="00000000" w:rsidRDefault="00000000" w:rsidRPr="00000000" w14:paraId="0000001E">
      <w:pPr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mbria Math" w:cs="Cambria Math" w:eastAsia="Cambria Math" w:hAnsi="Cambria Math"/>
          <w:b w:val="1"/>
        </w:rPr>
      </w:pPr>
      <w:r w:rsidDel="00000000" w:rsidR="00000000" w:rsidRPr="00000000">
        <w:rPr>
          <w:rFonts w:ascii="Cambria Math" w:cs="Cambria Math" w:eastAsia="Cambria Math" w:hAnsi="Cambria Math"/>
          <w:b w:val="1"/>
          <w:rtl w:val="0"/>
        </w:rPr>
        <w:t xml:space="preserve">Beneficii ale includerii straturilor ThermX în ecuație: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Scade semnificativ coeficientul U (</w:t>
      </w:r>
      <w:r w:rsidDel="00000000" w:rsidR="00000000" w:rsidRPr="00000000">
        <w:rPr>
          <w:rFonts w:ascii="Cambria Math" w:cs="Cambria Math" w:eastAsia="Cambria Math" w:hAnsi="Cambria Math"/>
          <w:i w:val="1"/>
          <w:rtl w:val="0"/>
        </w:rPr>
        <w:t xml:space="preserve">crește rezistența termică</w:t>
      </w: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)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Asigură o protecție termică suplimentară în aplicații industriale sau de eficiență energetică sporită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Cambria Math" w:cs="Cambria Math" w:eastAsia="Cambria Math" w:hAnsi="Cambria Math"/>
        </w:rPr>
      </w:pPr>
      <w:r w:rsidDel="00000000" w:rsidR="00000000" w:rsidRPr="00000000">
        <w:rPr>
          <w:rFonts w:ascii="Cambria Math" w:cs="Cambria Math" w:eastAsia="Cambria Math" w:hAnsi="Cambria Math"/>
          <w:rtl w:val="0"/>
        </w:rPr>
        <w:t xml:space="preserve">Se aplică ușor în straturi succesive subțiri (ex: 0,5–1 mm)</w:t>
      </w:r>
    </w:p>
    <w:p w:rsidR="00000000" w:rsidDel="00000000" w:rsidP="00000000" w:rsidRDefault="00000000" w:rsidRPr="00000000" w14:paraId="00000023">
      <w:pPr>
        <w:rPr>
          <w:rFonts w:ascii="Cambria Math" w:cs="Cambria Math" w:eastAsia="Cambria Math" w:hAnsi="Cambria Math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mbria Math" w:cs="Cambria Math" w:eastAsia="Cambria Math" w:hAnsi="Cambria Math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ambria Math">
    <w:embedRegular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pt_PT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2172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2172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2172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21726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21726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21726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21726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21726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2172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2172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2172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2172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2172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2172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2172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2172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2172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21726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21726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1726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21726"/>
    <w:rPr>
      <w:b w:val="1"/>
      <w:bCs w:val="1"/>
      <w:smallCaps w:val="1"/>
      <w:color w:val="2f5496" w:themeColor="accent1" w:themeShade="0000BF"/>
      <w:spacing w:val="5"/>
    </w:rPr>
  </w:style>
  <w:style w:type="character" w:styleId="PlaceholderText">
    <w:name w:val="Placeholder Text"/>
    <w:basedOn w:val="DefaultParagraphFont"/>
    <w:uiPriority w:val="99"/>
    <w:semiHidden w:val="1"/>
    <w:rsid w:val="00094745"/>
    <w:rPr>
      <w:color w:val="66666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51MPBgdVg1PinnIb+8agt5laJw==">CgMxLjA4AHIhMVM1THJsODdlZ3Fyb0NHT2I1anhmTzF0cXo3a1oyWUdj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2025-06-24T20:07:00Z</dcterms:created>
  <dc:creator>George Marius Șinca</dc:creator>
</cp:coreProperties>
</file>