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C8C8C"/>
          <w:sz w:val="17"/>
        </w:rPr>
        <w:t>ГК «МЕРИДИАН» · учебный кейс, данные синтетические</w:t>
      </w:r>
    </w:p>
    <w:p>
      <w:pPr>
        <w:pStyle w:val="Heading1"/>
      </w:pPr>
      <w:r>
        <w:t>Стратегия ГК «Меридиан»: цели и приоритеты на 2026 год</w:t>
      </w:r>
    </w:p>
    <w:p>
      <w:r>
        <w:rPr>
          <w:i/>
          <w:color w:val="58595B"/>
        </w:rPr>
        <w:t>Утверждено решением Совета директоров АО «ГК «Меридиан», протокол № 12 от 18.12.2025</w:t>
      </w:r>
    </w:p>
    <w:p>
      <w:pPr>
        <w:pStyle w:val="Heading2"/>
      </w:pPr>
      <w:r>
        <w:t>1. О Группе</w:t>
      </w:r>
    </w:p>
    <w:p>
      <w:pPr>
        <w:spacing w:after="80"/>
        <w:ind w:left="340"/>
      </w:pPr>
      <w:r>
        <w:rPr>
          <w:b/>
        </w:rPr>
        <w:t xml:space="preserve">1.1. </w:t>
      </w:r>
      <w:r>
        <w:t>ГК «Меридиан» — диверсифицированный промышленный холдинг из трёх дивизионов: «Меридиан Сталь» (металлургия, около 77% выручки), «Меридиан Логистик» (железнодорожная логистика, вагонный парк и терминальная сеть, около 19%), «Меридиан Финанс» (лизинг и факторинг для клиентов и поставщиков Группы, около 5%).</w:t>
      </w:r>
    </w:p>
    <w:p>
      <w:pPr>
        <w:spacing w:after="80"/>
        <w:ind w:left="340"/>
      </w:pPr>
      <w:r>
        <w:rPr>
          <w:b/>
        </w:rPr>
        <w:t xml:space="preserve">1.2. </w:t>
      </w:r>
      <w:r>
        <w:t>«Меридиан Логистик» оказывает транспортные услуги как внешним клиентам, так и «Меридиан Сталь»: около четверти выручки логистического дивизиона — внутригрупповые обороты.</w:t>
      </w:r>
    </w:p>
    <w:p>
      <w:pPr>
        <w:spacing w:after="80"/>
        <w:ind w:left="340"/>
      </w:pPr>
      <w:r>
        <w:rPr>
          <w:b/>
        </w:rPr>
        <w:t xml:space="preserve">1.3. </w:t>
      </w:r>
      <w:r>
        <w:t>Численность персонала — около 31 тыс. человек. Ключевые производственные активы: две доменные печи, кислородно-конвертерный цех, три терминала («Северный», «Восточный», «Южный»), собственный и привлечённый вагонный парк.</w:t>
      </w:r>
    </w:p>
    <w:p>
      <w:pPr>
        <w:pStyle w:val="Heading2"/>
      </w:pPr>
      <w:r>
        <w:t>2. Итоги 2025 года</w:t>
      </w:r>
    </w:p>
    <w:p>
      <w:pPr>
        <w:spacing w:after="80"/>
        <w:ind w:left="340"/>
      </w:pPr>
      <w:r>
        <w:rPr>
          <w:b/>
        </w:rPr>
        <w:t xml:space="preserve">2.1. </w:t>
      </w:r>
      <w:r>
        <w:t>План по выручке и EBITDA 2025 года выполнен. Инвестиционная программа (модернизация доменной печи № 1, расширение терминала «Восточный») профинансирована преимущественно за счёт заёмных средств.</w:t>
      </w:r>
    </w:p>
    <w:p>
      <w:pPr>
        <w:spacing w:after="80"/>
        <w:ind w:left="340"/>
      </w:pPr>
      <w:r>
        <w:rPr>
          <w:b/>
        </w:rPr>
        <w:t xml:space="preserve">2.2. </w:t>
      </w:r>
      <w:r>
        <w:t>Отношение чистого долга к EBITDA на 31.12.2025 составило 2,6x при ковенанте банков-кредиторов 3,0x. Совет директоров считает снижение долговой нагрузки приоритетом 2026 года.</w:t>
      </w:r>
    </w:p>
    <w:p>
      <w:pPr>
        <w:pStyle w:val="Heading2"/>
      </w:pPr>
      <w:r>
        <w:t>3. Стратегические цели на 2026 год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</w:tcPr>
          <w:p>
            <w:r/>
            <w:r>
              <w:rPr>
                <w:b/>
                <w:sz w:val="19"/>
              </w:rPr>
              <w:t>Код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Цель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9"/>
              </w:rPr>
              <w:t>Целевое значение на 2026 год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Ц1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Рост консолидированной выручки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Не менее 545 млрд руб. за год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Ц2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Рентабельность бизнеса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Рентабельность по EBITDA не ниже 23,5%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Ц3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Снижение долговой нагрузки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Чистый долг / EBITDA не выше 2,0x на 31.12.2026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Ц4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Операционная надёжность металлургии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Коэффициент технической готовности не ниже 92%; внеплановые простои ключевых агрегатов не более 480 часов за год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Ц5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Клиентский сервис в логистике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OTIF не ниже 90%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Ц6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Безопасность труда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LTIFR Группы не выше 0,30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Ц7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Развитие финансового бизнеса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Лизинговый портфель 165 млрд руб. на конец года при доле просрочки 90+ не выше 3,0%</w:t>
            </w:r>
          </w:p>
        </w:tc>
      </w:tr>
    </w:tbl>
    <w:p/>
    <w:p>
      <w:pPr>
        <w:pStyle w:val="Heading2"/>
      </w:pPr>
      <w:r>
        <w:t>4. Принципы системы КПЭ (выдержка из Положения о КПЭ)</w:t>
      </w:r>
    </w:p>
    <w:p>
      <w:pPr>
        <w:spacing w:after="80"/>
        <w:ind w:left="340"/>
      </w:pPr>
      <w:r>
        <w:rPr>
          <w:b/>
        </w:rPr>
        <w:t xml:space="preserve">4.1. </w:t>
      </w:r>
      <w:r>
        <w:t>Каскадирование. Каждый КПЭ уровня L2 и L3 имеет родительский КПЭ. Каждая стратегическая цель покрыта как минимум одним КПЭ уровня L1 или L2.</w:t>
      </w:r>
    </w:p>
    <w:p>
      <w:pPr>
        <w:spacing w:after="80"/>
        <w:ind w:left="340"/>
      </w:pPr>
      <w:r>
        <w:rPr>
          <w:b/>
        </w:rPr>
        <w:t xml:space="preserve">4.2. </w:t>
      </w:r>
      <w:r>
        <w:t>В карте руководителя не более 5 КПЭ. Сумма весов КПЭ в карте равна 100%.</w:t>
      </w:r>
    </w:p>
    <w:p>
      <w:pPr>
        <w:spacing w:after="80"/>
        <w:ind w:left="340"/>
      </w:pPr>
      <w:r>
        <w:rPr>
          <w:b/>
        </w:rPr>
        <w:t xml:space="preserve">4.3. </w:t>
      </w:r>
      <w:r>
        <w:t>Для руководителей подразделений (уровень L3 и ниже) не менее 30% веса карты составляют КПЭ уровня дивизиона (L2) или Группы (L1) — «командная составляющая».</w:t>
      </w:r>
    </w:p>
    <w:p>
      <w:pPr>
        <w:spacing w:after="80"/>
        <w:ind w:left="340"/>
      </w:pPr>
      <w:r>
        <w:rPr>
          <w:b/>
        </w:rPr>
        <w:t xml:space="preserve">4.4. </w:t>
      </w:r>
      <w:r>
        <w:t>КПЭ измеряет результат для бизнеса, а не объём выполненной работы или активность.</w:t>
      </w:r>
    </w:p>
    <w:p>
      <w:pPr>
        <w:spacing w:after="80"/>
        <w:ind w:left="340"/>
      </w:pPr>
      <w:r>
        <w:rPr>
          <w:b/>
        </w:rPr>
        <w:t xml:space="preserve">4.5. </w:t>
      </w:r>
      <w:r>
        <w:t>Методика расчёта КПЭ фиксируется в паспорте КПЭ. Изменение методики допускается только с начала календарного года и сопровождается пересчётом исторических данных для обеспечения сопоставимости.</w:t>
      </w:r>
    </w:p>
    <w:p>
      <w:pPr>
        <w:spacing w:after="80"/>
        <w:ind w:left="340"/>
      </w:pPr>
      <w:r>
        <w:rPr>
          <w:b/>
        </w:rPr>
        <w:t xml:space="preserve">4.6. </w:t>
      </w:r>
      <w:r>
        <w:t>Премия = целевая премия × итоговый % выполнения карты. При итоговом выполнении ниже 80% премия не выплачивается. Максимальный % выполнения, принимаемый к зачёту по каждому КПЭ, — 120%.</w:t>
      </w:r>
    </w:p>
    <w:p>
      <w:pPr>
        <w:pStyle w:val="Heading2"/>
      </w:pPr>
      <w:r>
        <w:t>5. Ключевые инициативы 2026 года</w:t>
      </w:r>
    </w:p>
    <w:p>
      <w:pPr>
        <w:spacing w:after="80"/>
        <w:ind w:left="340"/>
      </w:pPr>
      <w:r>
        <w:rPr>
          <w:b/>
        </w:rPr>
        <w:t xml:space="preserve">5.1. </w:t>
      </w:r>
      <w:r>
        <w:t>Программа надёжности «Меридиан Сталь»: переход от календарных ремонтов к ремонтам по техническому состоянию на доменном и конвертерном переделах (запуск — II полугодие 2026).</w:t>
      </w:r>
    </w:p>
    <w:p>
      <w:pPr>
        <w:spacing w:after="80"/>
        <w:ind w:left="340"/>
      </w:pPr>
      <w:r>
        <w:rPr>
          <w:b/>
        </w:rPr>
        <w:t xml:space="preserve">5.2. </w:t>
      </w:r>
      <w:r>
        <w:t>Завершение расширения терминала «Восточный» (с 11 до 16 путей) — IV квартал 2026.</w:t>
      </w:r>
    </w:p>
    <w:p>
      <w:pPr>
        <w:spacing w:after="80"/>
        <w:ind w:left="340"/>
      </w:pPr>
      <w:r>
        <w:rPr>
          <w:b/>
        </w:rPr>
        <w:t xml:space="preserve">5.3. </w:t>
      </w:r>
      <w:r>
        <w:t>«Цифровой лизинг»: автоматизация рассмотрения заявок и мониторинга лизингополучателей.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85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85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