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C8C8C"/>
          <w:sz w:val="17"/>
        </w:rPr>
        <w:t>ГК «МЕРИДИАН» · учебный кейс, данные синтетические</w:t>
      </w:r>
    </w:p>
    <w:p>
      <w:pPr>
        <w:pStyle w:val="Heading1"/>
      </w:pPr>
      <w:r>
        <w:t>Регламент формирования управленческой отчётности по КПЭ</w:t>
      </w:r>
    </w:p>
    <w:p>
      <w:r>
        <w:rPr>
          <w:i/>
          <w:color w:val="58595B"/>
        </w:rPr>
        <w:t>Р-01 · Владелец процесса: Департамент экономики и планирования (ДЭП) · Редакция 3 от 10.02.2024</w:t>
      </w:r>
    </w:p>
    <w:p>
      <w:pPr>
        <w:pStyle w:val="Heading2"/>
      </w:pPr>
      <w:r>
        <w:t>1. Общие положения</w:t>
      </w:r>
    </w:p>
    <w:p>
      <w:pPr>
        <w:spacing w:after="80"/>
        <w:ind w:left="340"/>
      </w:pPr>
      <w:r>
        <w:rPr>
          <w:b/>
        </w:rPr>
        <w:t xml:space="preserve">1.1. </w:t>
      </w:r>
      <w:r>
        <w:t>Регламент устанавливает порядок, сроки и ответственность при подготовке ежеквартального отчёта Правлению об исполнении КПЭ Группы и дивизионов.</w:t>
      </w:r>
    </w:p>
    <w:p>
      <w:pPr>
        <w:spacing w:after="80"/>
        <w:ind w:left="340"/>
      </w:pPr>
      <w:r>
        <w:rPr>
          <w:b/>
        </w:rPr>
        <w:t xml:space="preserve">1.2. </w:t>
      </w:r>
      <w:r>
        <w:t>Отчёт включает: таблицу план/факт по КПЭ уровней L1–L3, комментарии к отклонениям, выводы ДЭП.</w:t>
      </w:r>
    </w:p>
    <w:p>
      <w:pPr>
        <w:pStyle w:val="Heading2"/>
      </w:pPr>
      <w:r>
        <w:t>2. Участники процесса</w:t>
      </w:r>
    </w:p>
    <w:p>
      <w:pPr>
        <w:spacing w:after="80"/>
        <w:ind w:left="340"/>
      </w:pPr>
      <w:r>
        <w:rPr>
          <w:b/>
        </w:rPr>
        <w:t xml:space="preserve">2.1. </w:t>
      </w:r>
      <w:r>
        <w:t>ДЭП — сбор данных, консолидация, подготовка отчёта.</w:t>
      </w:r>
    </w:p>
    <w:p>
      <w:pPr>
        <w:spacing w:after="80"/>
        <w:ind w:left="340"/>
      </w:pPr>
      <w:r>
        <w:rPr>
          <w:b/>
        </w:rPr>
        <w:t xml:space="preserve">2.2. </w:t>
      </w:r>
      <w:r>
        <w:t>Финансовые службы дивизионов — загрузка фактических значений КПЭ в шаблон ДЭП.</w:t>
      </w:r>
    </w:p>
    <w:p>
      <w:pPr>
        <w:spacing w:after="80"/>
        <w:ind w:left="340"/>
      </w:pPr>
      <w:r>
        <w:rPr>
          <w:b/>
        </w:rPr>
        <w:t xml:space="preserve">2.3. </w:t>
      </w:r>
      <w:r>
        <w:t>Владельцы КПЭ — подготовка комментариев к отклонениям.</w:t>
      </w:r>
    </w:p>
    <w:p>
      <w:pPr>
        <w:pStyle w:val="Heading2"/>
      </w:pPr>
      <w:r>
        <w:t>3. Порядок подготовки отчёта</w:t>
      </w:r>
    </w:p>
    <w:p>
      <w:pPr>
        <w:spacing w:after="80"/>
        <w:ind w:left="340"/>
      </w:pPr>
      <w:r>
        <w:rPr>
          <w:b/>
        </w:rPr>
        <w:t xml:space="preserve">3.1. </w:t>
      </w:r>
      <w:r>
        <w:t>Финансовые службы дивизионов загружают фактические значения КПЭ в шаблон ДЭП не позднее 5-го рабочего дня после окончания квартала. На 5-й рабочий день данные фиксируются, дальнейшие изменения не принимаются.</w:t>
      </w:r>
    </w:p>
    <w:p>
      <w:pPr>
        <w:spacing w:after="80"/>
        <w:ind w:left="340"/>
      </w:pPr>
      <w:r>
        <w:rPr>
          <w:b/>
        </w:rPr>
        <w:t xml:space="preserve">3.2. </w:t>
      </w:r>
      <w:r>
        <w:t>Если источником КПЭ является система ТОиР и наряды за период на 5-й рабочий день не закрыты, значение загружается по оперативной оценке главного инженера «Меридиан Сталь».</w:t>
      </w:r>
    </w:p>
    <w:p>
      <w:pPr>
        <w:spacing w:after="80"/>
        <w:ind w:left="340"/>
      </w:pPr>
      <w:r>
        <w:rPr>
          <w:b/>
        </w:rPr>
        <w:t xml:space="preserve">3.3. </w:t>
      </w:r>
      <w:r>
        <w:t>ДЭП формирует консолидированные показатели Группы путём суммирования данных дивизионов. Исключение внутригрупповых оборотов выполняется при подготовке годовой консолидированной отчётности по МСФО.</w:t>
      </w:r>
    </w:p>
    <w:p>
      <w:pPr>
        <w:spacing w:after="80"/>
        <w:ind w:left="340"/>
      </w:pPr>
      <w:r>
        <w:rPr>
          <w:b/>
        </w:rPr>
        <w:t xml:space="preserve">3.4. </w:t>
      </w:r>
      <w:r>
        <w:t>Направление КПЭ («больше — лучше» / «меньше — лучше») задаётся владельцем КПЭ при создании паспорта. ДЭП корректность направления не проверяет.</w:t>
      </w:r>
    </w:p>
    <w:p>
      <w:pPr>
        <w:spacing w:after="80"/>
        <w:ind w:left="340"/>
      </w:pPr>
      <w:r>
        <w:rPr>
          <w:b/>
        </w:rPr>
        <w:t xml:space="preserve">3.5. </w:t>
      </w:r>
      <w:r>
        <w:t>Комментарии к отклонениям готовят владельцы КПЭ в свободной форме. Объём и структура комментария не регламентированы.</w:t>
      </w:r>
    </w:p>
    <w:p>
      <w:pPr>
        <w:spacing w:after="80"/>
        <w:ind w:left="340"/>
      </w:pPr>
      <w:r>
        <w:rPr>
          <w:b/>
        </w:rPr>
        <w:t xml:space="preserve">3.6. </w:t>
      </w:r>
      <w:r>
        <w:t>Порог существенности отклонения, при котором комментарий обязателен, регламентом не установлен; комментарий готовится по усмотрению владельца КПЭ.</w:t>
      </w:r>
    </w:p>
    <w:p>
      <w:pPr>
        <w:spacing w:after="80"/>
        <w:ind w:left="340"/>
      </w:pPr>
      <w:r>
        <w:rPr>
          <w:b/>
        </w:rPr>
        <w:t xml:space="preserve">3.7. </w:t>
      </w:r>
      <w:r>
        <w:t>Изменение методики расчёта КПЭ согласуется с ДЭП по служебной записке владельца КПЭ. Требование пересчёта исторических данных регламентом не установлено.</w:t>
      </w:r>
    </w:p>
    <w:p>
      <w:pPr>
        <w:spacing w:after="80"/>
        <w:ind w:left="340"/>
      </w:pPr>
      <w:r>
        <w:rPr>
          <w:b/>
        </w:rPr>
        <w:t xml:space="preserve">3.8. </w:t>
      </w:r>
      <w:r>
        <w:t>ДЭП направляет отчёт Правлению на 7-й рабочий день после окончания квартала.</w:t>
      </w:r>
    </w:p>
    <w:p>
      <w:pPr>
        <w:pStyle w:val="Heading2"/>
      </w:pPr>
      <w:r>
        <w:t>4. Сроки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9"/>
              </w:rPr>
              <w:t>Срок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9"/>
              </w:rPr>
              <w:t>Ответственный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Загрузка факта по КПЭ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до 5-го рабочего дня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Финансовые службы дивизионов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Комментарии к отклонениям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до 6-го рабочего дня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Владельцы КПЭ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Консолидация и выводы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6-й рабочий день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ДЭП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Направление отчёта Правлению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7-й рабочий день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Директор ДЭП</w:t>
            </w:r>
          </w:p>
        </w:tc>
      </w:tr>
    </w:tbl>
    <w:p/>
    <w:p>
      <w:pPr>
        <w:pStyle w:val="Heading2"/>
      </w:pPr>
      <w:r>
        <w:t>5. Ответственность</w:t>
      </w:r>
    </w:p>
    <w:p>
      <w:pPr>
        <w:spacing w:after="80"/>
        <w:ind w:left="340"/>
      </w:pPr>
      <w:r>
        <w:rPr>
          <w:b/>
        </w:rPr>
        <w:t xml:space="preserve">5.1. </w:t>
      </w:r>
      <w:r>
        <w:t>Владелец КПЭ отвечает за достоверность факта и комментария. ДЭП отвечает за своевременность и полноту отчёта.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85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85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